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nvx-6k-sept-10-26_ya.htm"/>
      <w:bookmarkStart w:id="1" w:name="ksnvx6ksept1026_ya"/>
      <w:bookmarkEnd w:id="0"/>
      <w:bookmarkEnd w:id="1"/>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Washington, D.C. 20549</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6-K</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REPORT OF FOREIGN PRIVATE ISSUER PURSUANT TO RULE 13a-16 OR 15d-16 UNDER THE</w:t>
      </w:r>
    </w:p>
    <w:p>
      <w:pPr>
        <w:pStyle w:val="TextBody"/>
        <w:bidi w:val="0"/>
        <w:jc w:val="center"/>
        <w:rPr>
          <w:rFonts w:ascii="Times New Roman" w:hAnsi="Times New Roman"/>
          <w:b/>
          <w:color w:val="000000"/>
          <w:sz w:val="22"/>
        </w:rPr>
      </w:pPr>
      <w:r>
        <w:rPr>
          <w:rFonts w:ascii="Times New Roman" w:hAnsi="Times New Roman"/>
          <w:b/>
          <w:color w:val="000000"/>
          <w:sz w:val="22"/>
        </w:rPr>
        <w:t>SECURITIES EXCHANGE ACT OF 1934</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For the month of September, 2026</w:t>
      </w:r>
    </w:p>
    <w:p>
      <w:pPr>
        <w:pStyle w:val="TextBody"/>
        <w:bidi w:val="0"/>
        <w:jc w:val="left"/>
        <w:rPr/>
      </w:pPr>
      <w:r>
        <w:rPr/>
        <w:t> </w:t>
      </w:r>
    </w:p>
    <w:tbl>
      <w:tblPr>
        <w:tblW w:w="2648" w:type="dxa"/>
        <w:jc w:val="left"/>
        <w:tblInd w:w="0" w:type="dxa"/>
        <w:tblLayout w:type="fixed"/>
        <w:tblCellMar>
          <w:top w:w="28" w:type="dxa"/>
          <w:left w:w="28" w:type="dxa"/>
          <w:bottom w:w="28" w:type="dxa"/>
          <w:right w:w="28" w:type="dxa"/>
        </w:tblCellMar>
      </w:tblPr>
      <w:tblGrid>
        <w:gridCol w:w="161"/>
        <w:gridCol w:w="22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001-41208</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NOVONIX LIMITED</w:t>
      </w:r>
    </w:p>
    <w:p>
      <w:pPr>
        <w:pStyle w:val="TextBody"/>
        <w:bidi w:val="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Level 38</w:t>
      </w:r>
    </w:p>
    <w:p>
      <w:pPr>
        <w:pStyle w:val="TextBody"/>
        <w:bidi w:val="0"/>
        <w:jc w:val="center"/>
        <w:rPr>
          <w:rFonts w:ascii="Times New Roman" w:hAnsi="Times New Roman"/>
          <w:color w:val="000000"/>
          <w:sz w:val="20"/>
        </w:rPr>
      </w:pPr>
      <w:r>
        <w:rPr>
          <w:rFonts w:ascii="Times New Roman" w:hAnsi="Times New Roman"/>
          <w:color w:val="000000"/>
          <w:sz w:val="20"/>
        </w:rPr>
        <w:t>71 Eagle Street</w:t>
      </w:r>
    </w:p>
    <w:p>
      <w:pPr>
        <w:pStyle w:val="TextBody"/>
        <w:bidi w:val="0"/>
        <w:jc w:val="center"/>
        <w:rPr>
          <w:rFonts w:ascii="Times New Roman" w:hAnsi="Times New Roman"/>
          <w:color w:val="000000"/>
          <w:sz w:val="20"/>
        </w:rPr>
      </w:pPr>
      <w:r>
        <w:rPr>
          <w:rFonts w:ascii="Times New Roman" w:hAnsi="Times New Roman"/>
          <w:color w:val="000000"/>
          <w:sz w:val="20"/>
        </w:rPr>
        <w:t>Brisbane, QLD 4000 Australia</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w:t>
        <w:noBreakHyphen/>
        <w:t>F or Form 40</w:t>
        <w:noBreakHyphen/>
        <w:t>F.</w:t>
      </w:r>
    </w:p>
    <w:p>
      <w:pPr>
        <w:pStyle w:val="TextBody"/>
        <w:bidi w:val="0"/>
        <w:jc w:val="left"/>
        <w:rPr>
          <w:rFonts w:ascii="Times New Roman" w:hAnsi="Times New Roman"/>
          <w:sz w:val="20"/>
        </w:rPr>
      </w:pPr>
      <w:r>
        <w:rPr>
          <w:rFonts w:ascii="Times New Roman" w:hAnsi="Times New Roman"/>
          <w:color w:val="000000"/>
          <w:sz w:val="20"/>
        </w:rPr>
        <w:t xml:space="preserve">Form 20-F </w:t>
      </w:r>
      <w:r>
        <w:rPr>
          <w:rFonts w:ascii="Times New Roman" w:hAnsi="Times New Roman"/>
          <w:sz w:val="20"/>
        </w:rPr>
        <w:t>☒</w:t>
      </w:r>
      <w:r>
        <w:rPr>
          <w:rFonts w:ascii="Times New Roman" w:hAnsi="Times New Roman"/>
          <w:color w:val="000000"/>
          <w:sz w:val="20"/>
        </w:rPr>
        <w:t xml:space="preserve"> Form 40-F </w:t>
      </w:r>
      <w:r>
        <w:rPr>
          <w:rFonts w:ascii="Times New Roman" w:hAnsi="Times New Roman"/>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101(b)(1): </w:t>
      </w:r>
      <w:r>
        <w:rPr>
          <w:rFonts w:ascii="Times New Roman" w:hAnsi="Times New Roman"/>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101(b)(7): </w:t>
      </w:r>
      <w:r>
        <w:rPr>
          <w:rFonts w:ascii="Times New Roman" w:hAnsi="Times New Roman"/>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093" w:type="dxa"/>
        <w:jc w:val="left"/>
        <w:tblInd w:w="0" w:type="dxa"/>
        <w:tblLayout w:type="fixed"/>
        <w:tblCellMar>
          <w:top w:w="28" w:type="dxa"/>
          <w:left w:w="28" w:type="dxa"/>
          <w:bottom w:w="28" w:type="dxa"/>
          <w:right w:w="28" w:type="dxa"/>
        </w:tblCellMar>
      </w:tblPr>
      <w:tblGrid>
        <w:gridCol w:w="1141"/>
        <w:gridCol w:w="146"/>
        <w:gridCol w:w="8806"/>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06"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06" w:type="dxa"/>
            <w:tcBorders/>
            <w:tcMar>
              <w:top w:w="0" w:type="dxa"/>
              <w:left w:w="0" w:type="dxa"/>
              <w:bottom w:w="0" w:type="dxa"/>
              <w:right w:w="0" w:type="dxa"/>
            </w:tcMar>
            <w:vAlign w:val="center"/>
          </w:tcPr>
          <w:p>
            <w:pPr>
              <w:pStyle w:val="TableContents"/>
              <w:bidi w:val="0"/>
              <w:spacing w:before="0" w:after="283"/>
              <w:jc w:val="left"/>
              <w:rPr/>
            </w:pPr>
            <w:hyperlink w:anchor="nvx-ex99_1.htm">
              <w:r>
                <w:rPr>
                  <w:rStyle w:val="InternetLink"/>
                  <w:rFonts w:ascii="Times New Roman" w:hAnsi="Times New Roman"/>
                  <w:color w:val="0000FF"/>
                  <w:sz w:val="20"/>
                  <w:u w:val="single"/>
                </w:rPr>
                <w:t>ASX Announcement (Notice of Amortisation Event under Funding Agreement) dated September 10, 2026</w:t>
              </w:r>
            </w:hyperlink>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06" w:type="dxa"/>
            <w:tcBorders/>
            <w:tcMar>
              <w:top w:w="0" w:type="dxa"/>
              <w:left w:w="0" w:type="dxa"/>
              <w:bottom w:w="0" w:type="dxa"/>
              <w:right w:w="0" w:type="dxa"/>
            </w:tcMar>
            <w:vAlign w:val="center"/>
          </w:tcPr>
          <w:p>
            <w:pPr>
              <w:pStyle w:val="TableContents"/>
              <w:bidi w:val="0"/>
              <w:spacing w:before="0" w:after="283"/>
              <w:jc w:val="left"/>
              <w:rPr/>
            </w:pPr>
            <w:hyperlink w:anchor="nvx-ex99_2.htm">
              <w:r>
                <w:rPr>
                  <w:rStyle w:val="InternetLink"/>
                  <w:rFonts w:ascii="Times New Roman" w:hAnsi="Times New Roman"/>
                  <w:color w:val="0000FF"/>
                  <w:sz w:val="20"/>
                  <w:u w:val="single"/>
                </w:rPr>
                <w:t>ASX Announcement (Lead Customer Feedback Marks Progress in Qualification) dated September 10, 2026</w:t>
              </w:r>
            </w:hyperlink>
          </w:p>
        </w:tc>
      </w:tr>
      <w:tr>
        <w:trPr/>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0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3298" w:type="dxa"/>
        <w:jc w:val="left"/>
        <w:tblInd w:w="0" w:type="dxa"/>
        <w:tblLayout w:type="fixed"/>
        <w:tblCellMar>
          <w:top w:w="28" w:type="dxa"/>
          <w:left w:w="28" w:type="dxa"/>
          <w:bottom w:w="28" w:type="dxa"/>
          <w:right w:w="28" w:type="dxa"/>
        </w:tblCellMar>
      </w:tblPr>
      <w:tblGrid>
        <w:gridCol w:w="421"/>
        <w:gridCol w:w="476"/>
        <w:gridCol w:w="2401"/>
      </w:tblGrid>
      <w:tr>
        <w:trPr/>
        <w:tc>
          <w:tcPr>
            <w:tcW w:w="42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NOVONIX LIMITED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Mike O'Kronley</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Mike O'Kronley</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ind w:left="0" w:right="0" w:firstLine="330"/>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ind w:left="0" w:right="0" w:firstLine="330"/>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September 14, 2026</w:t>
      </w:r>
    </w:p>
    <w:p>
      <w:pPr>
        <w:pStyle w:val="HorizontalLine"/>
        <w:pBdr>
          <w:bottom w:val="double" w:sz="2" w:space="0" w:color="808080"/>
        </w:pBdr>
        <w:bidi w:val="0"/>
        <w:spacing w:before="0" w:after="283"/>
        <w:jc w:val="left"/>
        <w:rPr/>
      </w:pPr>
      <w:r>
        <w:rPr/>
      </w:r>
    </w:p>
    <w:p>
      <w:pPr>
        <w:pStyle w:val="TextBody"/>
        <w:bidi w:val="0"/>
        <w:jc w:val="left"/>
        <w:rPr/>
      </w:pPr>
      <w:bookmarkStart w:id="2" w:name="nvx-ex99_1.htm"/>
      <w:bookmarkStart w:id="3" w:name="ksnvxex99_1"/>
      <w:bookmarkEnd w:id="2"/>
      <w:bookmarkEnd w:id="3"/>
      <w:r>
        <w:rPr/>
        <w:t> </w:t>
      </w:r>
      <w:r>
        <w:br w:type="page"/>
      </w:r>
    </w:p>
    <w:tbl>
      <w:tblPr>
        <w:tblW w:w="7587" w:type="dxa"/>
        <w:jc w:val="left"/>
        <w:tblInd w:w="0" w:type="dxa"/>
        <w:tblLayout w:type="fixed"/>
        <w:tblCellMar>
          <w:top w:w="28" w:type="dxa"/>
          <w:left w:w="28" w:type="dxa"/>
          <w:bottom w:w="28" w:type="dxa"/>
          <w:right w:w="28" w:type="dxa"/>
        </w:tblCellMar>
      </w:tblPr>
      <w:tblGrid>
        <w:gridCol w:w="4331"/>
        <w:gridCol w:w="3256"/>
      </w:tblGrid>
      <w:tr>
        <w:trPr/>
        <w:tc>
          <w:tcPr>
            <w:tcW w:w="433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4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b/>
                <w:color w:val="000000"/>
                <w:sz w:val="24"/>
              </w:rPr>
            </w:pPr>
            <w:r>
              <w:rPr>
                <w:rFonts w:ascii="Aptos;sans-serif" w:hAnsi="Aptos;sans-serif"/>
                <w:b/>
                <w:color w:val="000000"/>
                <w:sz w:val="24"/>
              </w:rPr>
              <w:t>Exhibit 99.1</w:t>
            </w:r>
          </w:p>
        </w:tc>
      </w:tr>
      <w:tr>
        <w:trPr/>
        <w:tc>
          <w:tcPr>
            <w:tcW w:w="433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8605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86050" cy="390525"/>
                          </a:xfrm>
                          <a:prstGeom prst="rect">
                            <a:avLst/>
                          </a:prstGeom>
                        </pic:spPr>
                      </pic:pic>
                    </a:graphicData>
                  </a:graphic>
                </wp:inline>
              </w:drawing>
            </w:r>
          </w:p>
        </w:tc>
        <w:tc>
          <w:tcPr>
            <w:tcW w:w="3256" w:type="dxa"/>
            <w:tcBorders/>
            <w:tcMar>
              <w:top w:w="0" w:type="dxa"/>
              <w:left w:w="0" w:type="dxa"/>
              <w:bottom w:w="0" w:type="dxa"/>
              <w:right w:w="0" w:type="dxa"/>
            </w:tcMar>
            <w:vAlign w:val="center"/>
          </w:tcPr>
          <w:p>
            <w:pPr>
              <w:pStyle w:val="TableContents"/>
              <w:bidi w:val="0"/>
              <w:jc w:val="right"/>
              <w:rPr>
                <w:rFonts w:ascii="Aptos;sans-serif" w:hAnsi="Aptos;sans-serif"/>
                <w:color w:val="00AD42"/>
                <w:sz w:val="28"/>
              </w:rPr>
            </w:pPr>
            <w:r>
              <w:rPr>
                <w:rFonts w:ascii="Aptos;sans-serif" w:hAnsi="Aptos;sans-serif"/>
                <w:color w:val="00AD42"/>
                <w:sz w:val="28"/>
              </w:rPr>
              <w:t>ASX ANNOUNCEMENT</w:t>
            </w:r>
          </w:p>
          <w:p>
            <w:pPr>
              <w:pStyle w:val="TableContents"/>
              <w:bidi w:val="0"/>
              <w:spacing w:before="0" w:after="283"/>
              <w:jc w:val="right"/>
              <w:rPr>
                <w:rFonts w:ascii="Aptos;sans-serif" w:hAnsi="Aptos;sans-serif"/>
                <w:color w:val="000000"/>
                <w:sz w:val="28"/>
              </w:rPr>
            </w:pPr>
            <w:r>
              <w:rPr>
                <w:rFonts w:ascii="Aptos;sans-serif" w:hAnsi="Aptos;sans-serif"/>
                <w:color w:val="000000"/>
                <w:sz w:val="28"/>
              </w:rPr>
              <w:t>(ASX: NVX)</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1"/>
        <w:bidi w:val="0"/>
        <w:jc w:val="left"/>
        <w:rPr>
          <w:rFonts w:ascii="Aptos;sans-serif" w:hAnsi="Aptos;sans-serif"/>
          <w:color w:val="00AD42"/>
          <w:sz w:val="40"/>
        </w:rPr>
      </w:pPr>
      <w:r>
        <w:rPr>
          <w:rFonts w:ascii="Aptos;sans-serif" w:hAnsi="Aptos;sans-serif"/>
          <w:color w:val="00AD42"/>
          <w:sz w:val="40"/>
        </w:rPr>
        <w:t>Notice of Amortisation Event under Funding Agreement</w:t>
      </w:r>
    </w:p>
    <w:p>
      <w:pPr>
        <w:pStyle w:val="TextBody"/>
        <w:bidi w:val="0"/>
        <w:spacing w:before="240" w:after="283"/>
        <w:jc w:val="left"/>
        <w:rPr>
          <w:rFonts w:ascii="Aptos;sans-serif" w:hAnsi="Aptos;sans-serif"/>
          <w:sz w:val="24"/>
        </w:rPr>
      </w:pPr>
      <w:r>
        <w:rPr>
          <w:rFonts w:ascii="Aptos;sans-serif" w:hAnsi="Aptos;sans-serif"/>
          <w:b/>
          <w:color w:val="000000"/>
          <w:sz w:val="24"/>
        </w:rPr>
        <w:t xml:space="preserve">Chattanooga, TN (USA), 10 September 2026 </w:t>
      </w:r>
      <w:r>
        <w:rPr>
          <w:rFonts w:ascii="Aptos;sans-serif" w:hAnsi="Aptos;sans-serif"/>
          <w:color w:val="000000"/>
          <w:sz w:val="24"/>
        </w:rPr>
        <w:t>- NOVONIX Limited (NASDAQ: NVX, ASX: NVX) (“NOVONIX” or the “Company”), refers to its ASX announcement dated 24 July 2025 regarding the funding agreement entered into with YA II PN, Ltd (the “Investor”), an affiliate of Yorkville Advisors Global, LLC, for the provision of funding by way of the issue of convertible debentures with a maximum aggregate face value of up to US$100,000,000 (the “Agreement”).</w:t>
      </w:r>
    </w:p>
    <w:p>
      <w:pPr>
        <w:pStyle w:val="TextBody"/>
        <w:bidi w:val="0"/>
        <w:spacing w:before="240" w:after="283"/>
        <w:jc w:val="left"/>
        <w:rPr>
          <w:rFonts w:ascii="Aptos;sans-serif" w:hAnsi="Aptos;sans-serif"/>
          <w:color w:val="000000"/>
          <w:sz w:val="24"/>
        </w:rPr>
      </w:pPr>
      <w:r>
        <w:rPr>
          <w:rFonts w:ascii="Aptos;sans-serif" w:hAnsi="Aptos;sans-serif"/>
          <w:color w:val="000000"/>
          <w:sz w:val="24"/>
        </w:rPr>
        <w:t>The Company advises that, under the terms of the debenture Agreement, if the daily volume weighted average price (“VWAP”) of the Company's shares on ASX was lower than the Floor Price of A$0.12 for the period specified in the Agreement, this constitutes an amortisation event (“Amortisation Event”).</w:t>
      </w:r>
    </w:p>
    <w:p>
      <w:pPr>
        <w:pStyle w:val="Heading2"/>
        <w:bidi w:val="0"/>
        <w:spacing w:before="280" w:after="283"/>
        <w:jc w:val="left"/>
        <w:rPr>
          <w:rFonts w:ascii="Aptos;sans-serif" w:hAnsi="Aptos;sans-serif"/>
          <w:color w:val="000000"/>
          <w:sz w:val="24"/>
        </w:rPr>
      </w:pPr>
      <w:r>
        <w:rPr>
          <w:rFonts w:ascii="Aptos;sans-serif" w:hAnsi="Aptos;sans-serif"/>
          <w:color w:val="000000"/>
          <w:sz w:val="24"/>
        </w:rPr>
        <w:t>Amortisation Payment</w:t>
      </w:r>
    </w:p>
    <w:p>
      <w:pPr>
        <w:pStyle w:val="TextBody"/>
        <w:bidi w:val="0"/>
        <w:spacing w:before="140" w:after="283"/>
        <w:jc w:val="both"/>
        <w:rPr>
          <w:rFonts w:ascii="Aptos;sans-serif" w:hAnsi="Aptos;sans-serif"/>
          <w:color w:val="000000"/>
          <w:sz w:val="24"/>
        </w:rPr>
      </w:pPr>
      <w:r>
        <w:rPr>
          <w:rFonts w:ascii="Aptos;sans-serif" w:hAnsi="Aptos;sans-serif"/>
          <w:color w:val="000000"/>
          <w:sz w:val="24"/>
        </w:rPr>
        <w:t>Under the Agreement, following an Amortisation Event the Company is required, within 10 trading days, to redeem convertible debentures with an aggregate face value equal to 20% of the Amount Outstanding under the Agreement, by paying that amount to the Investor in cash.</w:t>
      </w:r>
    </w:p>
    <w:p>
      <w:pPr>
        <w:pStyle w:val="TextBody"/>
        <w:bidi w:val="0"/>
        <w:spacing w:before="240" w:after="283"/>
        <w:jc w:val="left"/>
        <w:rPr>
          <w:rFonts w:ascii="Aptos;sans-serif" w:hAnsi="Aptos;sans-serif"/>
          <w:color w:val="000000"/>
          <w:sz w:val="24"/>
        </w:rPr>
      </w:pPr>
      <w:r>
        <w:rPr>
          <w:rFonts w:ascii="Aptos;sans-serif" w:hAnsi="Aptos;sans-serif"/>
          <w:color w:val="000000"/>
          <w:sz w:val="24"/>
        </w:rPr>
        <w:t>The Amount Outstanding under the Agreement was US$35,000,000 and, accordingly, the Company is required to pay US$7,000,000 (the “Amortisation Amount”) to the Investor no later than 21 September 2026 (the “First Amortisation Payment Date”).</w:t>
      </w:r>
    </w:p>
    <w:p>
      <w:pPr>
        <w:pStyle w:val="TextBody"/>
        <w:bidi w:val="0"/>
        <w:spacing w:before="240" w:after="283"/>
        <w:jc w:val="left"/>
        <w:rPr>
          <w:rFonts w:ascii="Aptos;sans-serif" w:hAnsi="Aptos;sans-serif"/>
          <w:color w:val="000000"/>
          <w:sz w:val="24"/>
        </w:rPr>
      </w:pPr>
      <w:r>
        <w:rPr>
          <w:rFonts w:ascii="Aptos;sans-serif" w:hAnsi="Aptos;sans-serif"/>
          <w:color w:val="000000"/>
          <w:sz w:val="24"/>
        </w:rPr>
        <w:t>Upon payment of the Amortisation Amount, convertible debentures with an aggregate face value equal to the Amortisation Amount will be redeemed, and the amount outstanding under the Agreement will reduce correspondingly to US$28,000,000 (the “Amount Outstanding”).</w:t>
      </w:r>
    </w:p>
    <w:p>
      <w:pPr>
        <w:pStyle w:val="Heading2"/>
        <w:bidi w:val="0"/>
        <w:spacing w:before="280" w:after="283"/>
        <w:jc w:val="both"/>
        <w:rPr>
          <w:rFonts w:ascii="Aptos;sans-serif" w:hAnsi="Aptos;sans-serif"/>
          <w:color w:val="000000"/>
          <w:sz w:val="24"/>
        </w:rPr>
      </w:pPr>
      <w:r>
        <w:rPr>
          <w:rFonts w:ascii="Aptos;sans-serif" w:hAnsi="Aptos;sans-serif"/>
          <w:color w:val="000000"/>
          <w:sz w:val="24"/>
        </w:rPr>
        <w:t>Ongoing Amortisation Obligations</w:t>
      </w:r>
    </w:p>
    <w:p>
      <w:pPr>
        <w:pStyle w:val="TextBody"/>
        <w:bidi w:val="0"/>
        <w:spacing w:before="140" w:after="283"/>
        <w:jc w:val="left"/>
        <w:rPr>
          <w:rFonts w:ascii="Aptos;sans-serif" w:hAnsi="Aptos;sans-serif"/>
          <w:color w:val="000000"/>
          <w:sz w:val="24"/>
        </w:rPr>
      </w:pPr>
      <w:r>
        <w:rPr>
          <w:rFonts w:ascii="Aptos;sans-serif" w:hAnsi="Aptos;sans-serif"/>
          <w:color w:val="000000"/>
          <w:sz w:val="24"/>
        </w:rPr>
        <w:t>If the Amortisation Event continues, the Agreement provides for further amortisation payments to be made on a rolling 30-day basis, in an amount equal to 20% of the Amount Outstanding at the time of the Amortisation Event, until the earlier of the Amortisation Event ceasing or the Amount Outstanding being repaid in full.</w:t>
      </w:r>
    </w:p>
    <w:p>
      <w:pPr>
        <w:pStyle w:val="TextBody"/>
        <w:bidi w:val="0"/>
        <w:spacing w:before="240" w:after="283"/>
        <w:jc w:val="left"/>
        <w:rPr>
          <w:rFonts w:ascii="Aptos;sans-serif" w:hAnsi="Aptos;sans-serif"/>
          <w:color w:val="000000"/>
          <w:sz w:val="24"/>
        </w:rPr>
      </w:pPr>
      <w:r>
        <w:rPr>
          <w:rFonts w:ascii="Aptos;sans-serif" w:hAnsi="Aptos;sans-serif"/>
          <w:color w:val="000000"/>
          <w:sz w:val="24"/>
        </w:rPr>
        <w:t>The Company will continue to monitor its share price against the Floor Price and will keep the market informed in accordance with its continuous disclosure obligations under the ASX Listing Rules.</w:t>
      </w:r>
    </w:p>
    <w:p>
      <w:pPr>
        <w:pStyle w:val="TextBody"/>
        <w:bidi w:val="0"/>
        <w:jc w:val="left"/>
        <w:rPr/>
      </w:pPr>
      <w:r>
        <w:rPr/>
        <w:t> </w:t>
      </w:r>
    </w:p>
    <w:tbl>
      <w:tblPr>
        <w:tblW w:w="9821" w:type="dxa"/>
        <w:jc w:val="left"/>
        <w:tblInd w:w="0" w:type="dxa"/>
        <w:tblLayout w:type="fixed"/>
        <w:tblCellMar>
          <w:top w:w="28" w:type="dxa"/>
          <w:left w:w="28" w:type="dxa"/>
          <w:bottom w:w="28" w:type="dxa"/>
          <w:right w:w="28" w:type="dxa"/>
        </w:tblCellMar>
      </w:tblPr>
      <w:tblGrid>
        <w:gridCol w:w="8865"/>
        <w:gridCol w:w="956"/>
      </w:tblGrid>
      <w:tr>
        <w:trPr/>
        <w:tc>
          <w:tcPr>
            <w:tcW w:w="886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8865" w:type="dxa"/>
            <w:tcBorders>
              <w:top w:val="single" w:sz="12" w:space="0" w:color="05AD4B"/>
            </w:tcBorders>
            <w:tcMar>
              <w:left w:w="0" w:type="dxa"/>
              <w:bottom w:w="0" w:type="dxa"/>
              <w:right w:w="0" w:type="dxa"/>
            </w:tcMar>
            <w:vAlign w:val="center"/>
          </w:tcPr>
          <w:p>
            <w:pPr>
              <w:pStyle w:val="TableContents"/>
              <w:bidi w:val="0"/>
              <w:spacing w:before="0" w:after="283"/>
              <w:jc w:val="left"/>
              <w:rPr/>
            </w:pPr>
            <w:r>
              <w:rPr/>
              <w:t> </w:t>
            </w:r>
          </w:p>
        </w:tc>
        <w:tc>
          <w:tcPr>
            <w:tcW w:w="956" w:type="dxa"/>
            <w:tcBorders>
              <w:top w:val="single" w:sz="12" w:space="0" w:color="05AD4B"/>
            </w:tcBorders>
            <w:tcMar>
              <w:left w:w="0" w:type="dxa"/>
              <w:bottom w:w="0" w:type="dxa"/>
              <w:right w:w="0" w:type="dxa"/>
            </w:tcMar>
            <w:vAlign w:val="center"/>
          </w:tcPr>
          <w:p>
            <w:pPr>
              <w:pStyle w:val="TableContents"/>
              <w:bidi w:val="0"/>
              <w:spacing w:before="0" w:after="283"/>
              <w:ind w:left="0" w:right="0" w:firstLine="14"/>
              <w:jc w:val="right"/>
              <w:rPr/>
            </w:pPr>
            <w:r>
              <w:rPr/>
              <w:t> </w:t>
            </w:r>
          </w:p>
        </w:tc>
      </w:tr>
      <w:tr>
        <w:trPr/>
        <w:tc>
          <w:tcPr>
            <w:tcW w:w="8865" w:type="dxa"/>
            <w:tcBorders/>
            <w:tcMar>
              <w:top w:w="0" w:type="dxa"/>
              <w:left w:w="0" w:type="dxa"/>
              <w:bottom w:w="0" w:type="dxa"/>
              <w:right w:w="0" w:type="dxa"/>
            </w:tcMar>
            <w:vAlign w:val="center"/>
          </w:tcPr>
          <w:p>
            <w:pPr>
              <w:pStyle w:val="TableContents"/>
              <w:bidi w:val="0"/>
              <w:spacing w:lineRule="auto" w:line="360" w:before="0" w:after="283"/>
              <w:ind w:left="0" w:right="0" w:firstLine="14"/>
              <w:jc w:val="left"/>
              <w:rPr>
                <w:rFonts w:ascii="Aptos;sans-serif" w:hAnsi="Aptos;sans-serif"/>
                <w:sz w:val="24"/>
              </w:rPr>
            </w:pPr>
            <w:r>
              <w:rPr>
                <w:rFonts w:ascii="Aptos;sans-serif" w:hAnsi="Aptos;sans-serif"/>
                <w:color w:val="373936"/>
                <w:sz w:val="24"/>
              </w:rPr>
              <w:t>1029 West 19</w:t>
            </w:r>
            <w:r>
              <w:rPr>
                <w:rFonts w:ascii="Aptos;sans-serif" w:hAnsi="Aptos;sans-serif"/>
                <w:color w:val="373936"/>
                <w:sz w:val="16"/>
              </w:rPr>
              <w:t>th</w:t>
            </w:r>
            <w:r>
              <w:rPr>
                <w:rFonts w:ascii="Aptos;sans-serif" w:hAnsi="Aptos;sans-serif"/>
                <w:color w:val="373936"/>
                <w:sz w:val="24"/>
              </w:rPr>
              <w:t xml:space="preserve"> Street; Chattanooga, TN 37408; USA | novonixgroup.com</w:t>
            </w:r>
          </w:p>
        </w:tc>
        <w:tc>
          <w:tcPr>
            <w:tcW w:w="9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23875"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23875" cy="4476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587" w:type="dxa"/>
        <w:jc w:val="left"/>
        <w:tblInd w:w="0" w:type="dxa"/>
        <w:tblLayout w:type="fixed"/>
        <w:tblCellMar>
          <w:top w:w="28" w:type="dxa"/>
          <w:left w:w="28" w:type="dxa"/>
          <w:bottom w:w="28" w:type="dxa"/>
          <w:right w:w="28" w:type="dxa"/>
        </w:tblCellMar>
      </w:tblPr>
      <w:tblGrid>
        <w:gridCol w:w="4331"/>
        <w:gridCol w:w="3256"/>
      </w:tblGrid>
      <w:tr>
        <w:trPr/>
        <w:tc>
          <w:tcPr>
            <w:tcW w:w="433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433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86050" cy="390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686050" cy="390525"/>
                          </a:xfrm>
                          <a:prstGeom prst="rect">
                            <a:avLst/>
                          </a:prstGeom>
                        </pic:spPr>
                      </pic:pic>
                    </a:graphicData>
                  </a:graphic>
                </wp:inline>
              </w:drawing>
            </w:r>
          </w:p>
        </w:tc>
        <w:tc>
          <w:tcPr>
            <w:tcW w:w="3256" w:type="dxa"/>
            <w:tcBorders/>
            <w:tcMar>
              <w:top w:w="0" w:type="dxa"/>
              <w:left w:w="0" w:type="dxa"/>
              <w:bottom w:w="0" w:type="dxa"/>
              <w:right w:w="0" w:type="dxa"/>
            </w:tcMar>
            <w:vAlign w:val="center"/>
          </w:tcPr>
          <w:p>
            <w:pPr>
              <w:pStyle w:val="TableContents"/>
              <w:bidi w:val="0"/>
              <w:jc w:val="right"/>
              <w:rPr>
                <w:rFonts w:ascii="Aptos;sans-serif" w:hAnsi="Aptos;sans-serif"/>
                <w:color w:val="00AD42"/>
                <w:sz w:val="28"/>
              </w:rPr>
            </w:pPr>
            <w:r>
              <w:rPr>
                <w:rFonts w:ascii="Aptos;sans-serif" w:hAnsi="Aptos;sans-serif"/>
                <w:color w:val="00AD42"/>
                <w:sz w:val="28"/>
              </w:rPr>
              <w:t>ASX ANNOUNCEMENT</w:t>
            </w:r>
          </w:p>
          <w:p>
            <w:pPr>
              <w:pStyle w:val="TableContents"/>
              <w:bidi w:val="0"/>
              <w:spacing w:before="0" w:after="283"/>
              <w:jc w:val="right"/>
              <w:rPr>
                <w:rFonts w:ascii="Aptos;sans-serif" w:hAnsi="Aptos;sans-serif"/>
                <w:color w:val="000000"/>
                <w:sz w:val="28"/>
              </w:rPr>
            </w:pPr>
            <w:r>
              <w:rPr>
                <w:rFonts w:ascii="Aptos;sans-serif" w:hAnsi="Aptos;sans-serif"/>
                <w:color w:val="000000"/>
                <w:sz w:val="28"/>
              </w:rPr>
              <w:t>(ASX: NVX)</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2"/>
        <w:bidi w:val="0"/>
        <w:spacing w:before="280" w:after="283"/>
        <w:jc w:val="left"/>
        <w:rPr>
          <w:rFonts w:ascii="Aptos;sans-serif" w:hAnsi="Aptos;sans-serif"/>
          <w:color w:val="000000"/>
          <w:sz w:val="24"/>
        </w:rPr>
      </w:pPr>
      <w:r>
        <w:rPr>
          <w:rFonts w:ascii="Aptos;sans-serif" w:hAnsi="Aptos;sans-serif"/>
          <w:color w:val="000000"/>
          <w:sz w:val="24"/>
        </w:rPr>
        <w:t>Funding of the Amortisation Amount</w:t>
      </w:r>
    </w:p>
    <w:p>
      <w:pPr>
        <w:pStyle w:val="TextBody"/>
        <w:bidi w:val="0"/>
        <w:spacing w:before="140" w:after="283"/>
        <w:jc w:val="left"/>
        <w:rPr>
          <w:rFonts w:ascii="Aptos;sans-serif" w:hAnsi="Aptos;sans-serif"/>
          <w:color w:val="000000"/>
          <w:sz w:val="24"/>
        </w:rPr>
      </w:pPr>
      <w:r>
        <w:rPr>
          <w:rFonts w:ascii="Aptos;sans-serif" w:hAnsi="Aptos;sans-serif"/>
          <w:color w:val="000000"/>
          <w:sz w:val="24"/>
        </w:rPr>
        <w:t>The Company intends to fund the Amortisation Amount from its existing cash reserves.</w:t>
      </w:r>
    </w:p>
    <w:p>
      <w:pPr>
        <w:pStyle w:val="TextBody"/>
        <w:bidi w:val="0"/>
        <w:spacing w:before="480" w:after="283"/>
        <w:jc w:val="left"/>
        <w:rPr>
          <w:rFonts w:ascii="Aptos;sans-serif" w:hAnsi="Aptos;sans-serif"/>
          <w:color w:val="000000"/>
          <w:sz w:val="24"/>
        </w:rPr>
      </w:pPr>
      <w:r>
        <w:rPr>
          <w:rFonts w:ascii="Aptos;sans-serif" w:hAnsi="Aptos;sans-serif"/>
          <w:color w:val="000000"/>
          <w:sz w:val="24"/>
        </w:rPr>
        <w:t>This announcement has been authorized for release by NOVONIX Chairman, Admiral Robert J. Natter, USN Ret.</w:t>
      </w:r>
    </w:p>
    <w:p>
      <w:pPr>
        <w:pStyle w:val="Heading2"/>
        <w:bidi w:val="0"/>
        <w:spacing w:before="720" w:after="283"/>
        <w:jc w:val="left"/>
        <w:rPr>
          <w:rFonts w:ascii="Aptos;sans-serif" w:hAnsi="Aptos;sans-serif"/>
          <w:color w:val="000000"/>
          <w:sz w:val="24"/>
        </w:rPr>
      </w:pPr>
      <w:r>
        <w:rPr>
          <w:rFonts w:ascii="Aptos;sans-serif" w:hAnsi="Aptos;sans-serif"/>
          <w:color w:val="000000"/>
          <w:sz w:val="24"/>
        </w:rPr>
        <w:t>About NOVONIX</w:t>
      </w:r>
    </w:p>
    <w:p>
      <w:pPr>
        <w:pStyle w:val="TextBody"/>
        <w:bidi w:val="0"/>
        <w:spacing w:before="40" w:after="283"/>
        <w:jc w:val="left"/>
        <w:rPr>
          <w:rFonts w:ascii="Aptos;sans-serif" w:hAnsi="Aptos;sans-serif"/>
          <w:color w:val="000000"/>
          <w:sz w:val="24"/>
        </w:rPr>
      </w:pPr>
      <w:r>
        <w:rPr>
          <w:rFonts w:ascii="Aptos;sans-serif" w:hAnsi="Aptos;sans-serif"/>
          <w:color w:val="000000"/>
          <w:sz w:val="24"/>
        </w:rPr>
        <w:t>NOVONIX is building a resilient North American battery materials supply chain to reduce risk and support U.S. energy independence. Headquartered in Chattanooga, Tennessee, the company produces high-performance synthetic graphite anode materials for lithium-ion batteries, serving energy storage, electric vehicles, and industrial markets. Through proprietary technologies and expanding manufacturing capacity, NOVONIX is scaling critical battery materials to meet growing global demand.</w:t>
      </w:r>
    </w:p>
    <w:p>
      <w:pPr>
        <w:pStyle w:val="TextBody"/>
        <w:bidi w:val="0"/>
        <w:spacing w:before="300" w:after="283"/>
        <w:jc w:val="left"/>
        <w:rPr>
          <w:rFonts w:ascii="Aptos;sans-serif" w:hAnsi="Aptos;sans-serif"/>
          <w:sz w:val="24"/>
        </w:rPr>
      </w:pPr>
      <w:r>
        <w:rPr>
          <w:rFonts w:ascii="Aptos;sans-serif" w:hAnsi="Aptos;sans-serif"/>
          <w:color w:val="000000"/>
          <w:sz w:val="24"/>
        </w:rPr>
        <w:t xml:space="preserve">To learn more, visit us at </w:t>
      </w:r>
      <w:r>
        <w:rPr>
          <w:rFonts w:ascii="Aptos;sans-serif" w:hAnsi="Aptos;sans-serif"/>
          <w:sz w:val="24"/>
        </w:rPr>
        <w:t>www.novonixgroup.com</w:t>
      </w:r>
      <w:r>
        <w:rPr>
          <w:rFonts w:ascii="Aptos;sans-serif" w:hAnsi="Aptos;sans-serif"/>
          <w:color w:val="00AD42"/>
          <w:sz w:val="24"/>
        </w:rPr>
        <w:t xml:space="preserve"> </w:t>
      </w:r>
      <w:r>
        <w:rPr>
          <w:rFonts w:ascii="Aptos;sans-serif" w:hAnsi="Aptos;sans-serif"/>
          <w:color w:val="000000"/>
          <w:sz w:val="24"/>
        </w:rPr>
        <w:t xml:space="preserve">or on </w:t>
      </w:r>
      <w:r>
        <w:rPr>
          <w:rFonts w:ascii="Aptos;sans-serif" w:hAnsi="Aptos;sans-serif"/>
          <w:sz w:val="24"/>
        </w:rPr>
        <w:t>LinkedIn</w:t>
      </w:r>
      <w:r>
        <w:rPr>
          <w:rFonts w:ascii="Aptos;sans-serif" w:hAnsi="Aptos;sans-serif"/>
          <w:color w:val="00AD42"/>
          <w:sz w:val="24"/>
        </w:rPr>
        <w:t xml:space="preserve"> </w:t>
      </w:r>
      <w:r>
        <w:rPr>
          <w:rFonts w:ascii="Aptos;sans-serif" w:hAnsi="Aptos;sans-serif"/>
          <w:color w:val="000000"/>
          <w:sz w:val="24"/>
        </w:rPr>
        <w:t xml:space="preserve">and </w:t>
      </w:r>
      <w:r>
        <w:rPr>
          <w:rFonts w:ascii="Aptos;sans-serif" w:hAnsi="Aptos;sans-serif"/>
          <w:sz w:val="24"/>
        </w:rPr>
        <w:t>X</w:t>
      </w:r>
      <w:r>
        <w:rPr>
          <w:rFonts w:ascii="Aptos;sans-serif" w:hAnsi="Aptos;sans-serif"/>
          <w:color w:val="000000"/>
          <w:sz w:val="24"/>
        </w:rPr>
        <w:t>.</w:t>
      </w:r>
    </w:p>
    <w:p>
      <w:pPr>
        <w:pStyle w:val="Heading2"/>
        <w:bidi w:val="0"/>
        <w:spacing w:before="300" w:after="283"/>
        <w:jc w:val="left"/>
        <w:rPr>
          <w:rFonts w:ascii="Aptos;sans-serif" w:hAnsi="Aptos;sans-serif"/>
          <w:color w:val="000000"/>
          <w:sz w:val="24"/>
        </w:rPr>
      </w:pPr>
      <w:r>
        <w:rPr>
          <w:rFonts w:ascii="Aptos;sans-serif" w:hAnsi="Aptos;sans-serif"/>
          <w:color w:val="000000"/>
          <w:sz w:val="24"/>
        </w:rPr>
        <w:t>For NOVONIX Limited</w:t>
      </w:r>
    </w:p>
    <w:p>
      <w:pPr>
        <w:pStyle w:val="TextBody"/>
        <w:bidi w:val="0"/>
        <w:spacing w:before="43" w:after="283"/>
        <w:jc w:val="left"/>
        <w:rPr>
          <w:rFonts w:ascii="Aptos;sans-serif" w:hAnsi="Aptos;sans-serif"/>
          <w:sz w:val="24"/>
        </w:rPr>
      </w:pPr>
      <w:r>
        <w:rPr>
          <w:rFonts w:ascii="Aptos;sans-serif" w:hAnsi="Aptos;sans-serif"/>
          <w:color w:val="000000"/>
          <w:sz w:val="24"/>
        </w:rPr>
        <w:t xml:space="preserve">Investors: </w:t>
      </w:r>
      <w:r>
        <w:rPr>
          <w:rFonts w:ascii="Aptos;sans-serif" w:hAnsi="Aptos;sans-serif"/>
          <w:sz w:val="24"/>
        </w:rPr>
        <w:t>ir@novonixgroup.com</w:t>
      </w:r>
      <w:r>
        <w:rPr>
          <w:rFonts w:ascii="Aptos;sans-serif" w:hAnsi="Aptos;sans-serif"/>
          <w:color w:val="00AD42"/>
          <w:sz w:val="24"/>
        </w:rPr>
        <w:t xml:space="preserve"> </w:t>
      </w:r>
    </w:p>
    <w:p>
      <w:pPr>
        <w:pStyle w:val="TextBody"/>
        <w:bidi w:val="0"/>
        <w:spacing w:before="43" w:after="283"/>
        <w:jc w:val="left"/>
        <w:rPr>
          <w:rFonts w:ascii="Aptos;sans-serif" w:hAnsi="Aptos;sans-serif"/>
          <w:sz w:val="24"/>
        </w:rPr>
      </w:pPr>
      <w:r>
        <w:rPr>
          <w:rFonts w:ascii="Aptos;sans-serif" w:hAnsi="Aptos;sans-serif"/>
          <w:color w:val="000000"/>
          <w:sz w:val="24"/>
        </w:rPr>
        <w:t xml:space="preserve">Media: </w:t>
      </w:r>
      <w:r>
        <w:rPr>
          <w:rFonts w:ascii="Aptos;sans-serif" w:hAnsi="Aptos;sans-serif"/>
          <w:sz w:val="24"/>
        </w:rPr>
        <w:t>media@novonixgroup.com</w:t>
      </w:r>
    </w:p>
    <w:p>
      <w:pPr>
        <w:pStyle w:val="Heading2"/>
        <w:bidi w:val="0"/>
        <w:spacing w:before="360" w:after="283"/>
        <w:jc w:val="left"/>
        <w:rPr>
          <w:rFonts w:ascii="Aptos;sans-serif" w:hAnsi="Aptos;sans-serif"/>
          <w:color w:val="000000"/>
          <w:sz w:val="24"/>
        </w:rPr>
      </w:pPr>
      <w:r>
        <w:rPr>
          <w:rFonts w:ascii="Aptos;sans-serif" w:hAnsi="Aptos;sans-serif"/>
          <w:color w:val="000000"/>
          <w:sz w:val="24"/>
        </w:rPr>
        <w:t>Cautionary Note Regarding Forward-Looking Statements</w:t>
      </w:r>
    </w:p>
    <w:p>
      <w:pPr>
        <w:pStyle w:val="TextBody"/>
        <w:bidi w:val="0"/>
        <w:spacing w:before="40" w:after="283"/>
        <w:jc w:val="left"/>
        <w:rPr>
          <w:rFonts w:ascii="Aptos;sans-serif" w:hAnsi="Aptos;sans-serif"/>
          <w:color w:val="000000"/>
          <w:sz w:val="24"/>
        </w:rPr>
      </w:pPr>
      <w:r>
        <w:rPr>
          <w:rFonts w:ascii="Aptos;sans-serif" w:hAnsi="Aptos;sans-serif"/>
          <w:color w:val="000000"/>
          <w:sz w:val="24"/>
        </w:rPr>
        <w:t>This communication contains forward-looking statements about the Company and the industry in which it operates. Forward-looking statements can generally be identified by use of words such as “anticipate,” “believe,” “contemplate,” “continue,” “could,” “estimate,” “expect,” “intend,” “may,” “plan,” “potential,” “predict,” “project,” “should,” “target,” “will,” or “would,” or other similar expressions. Examples of forward-looking statements in this communication include, among others, statements made regarding funding the amortisation amount, future amortisation events, our market position in general, and efforts to develop a North American battery materials supply chain.</w:t>
      </w:r>
    </w:p>
    <w:p>
      <w:pPr>
        <w:pStyle w:val="TextBody"/>
        <w:bidi w:val="0"/>
        <w:spacing w:before="240" w:after="283"/>
        <w:jc w:val="both"/>
        <w:rPr>
          <w:rFonts w:ascii="Aptos;sans-serif" w:hAnsi="Aptos;sans-serif"/>
          <w:color w:val="000000"/>
          <w:sz w:val="24"/>
        </w:rPr>
      </w:pPr>
      <w:r>
        <w:rPr>
          <w:rFonts w:ascii="Aptos;sans-serif" w:hAnsi="Aptos;sans-serif"/>
          <w:color w:val="000000"/>
          <w:sz w:val="24"/>
        </w:rPr>
        <w:t xml:space="preserve">The Company has based such statements on current expectations and projections about future events and trends that it believes may affect its financial condition, results of operations, business strategy and financial needs. Such forward-looking statements involve and are subject to known </w:t>
      </w:r>
    </w:p>
    <w:p>
      <w:pPr>
        <w:pStyle w:val="TextBody"/>
        <w:bidi w:val="0"/>
        <w:jc w:val="left"/>
        <w:rPr/>
      </w:pPr>
      <w:r>
        <w:rPr/>
        <w:t> </w:t>
      </w:r>
    </w:p>
    <w:tbl>
      <w:tblPr>
        <w:tblW w:w="9821" w:type="dxa"/>
        <w:jc w:val="left"/>
        <w:tblInd w:w="0" w:type="dxa"/>
        <w:tblLayout w:type="fixed"/>
        <w:tblCellMar>
          <w:top w:w="28" w:type="dxa"/>
          <w:left w:w="28" w:type="dxa"/>
          <w:bottom w:w="28" w:type="dxa"/>
          <w:right w:w="28" w:type="dxa"/>
        </w:tblCellMar>
      </w:tblPr>
      <w:tblGrid>
        <w:gridCol w:w="8865"/>
        <w:gridCol w:w="956"/>
      </w:tblGrid>
      <w:tr>
        <w:trPr/>
        <w:tc>
          <w:tcPr>
            <w:tcW w:w="886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ind w:left="0" w:right="0" w:firstLine="14"/>
              <w:jc w:val="left"/>
              <w:rPr>
                <w:sz w:val="4"/>
                <w:szCs w:val="4"/>
              </w:rPr>
            </w:pPr>
            <w:r>
              <w:rPr>
                <w:sz w:val="4"/>
                <w:szCs w:val="4"/>
              </w:rPr>
            </w:r>
          </w:p>
        </w:tc>
      </w:tr>
      <w:tr>
        <w:trPr/>
        <w:tc>
          <w:tcPr>
            <w:tcW w:w="8865" w:type="dxa"/>
            <w:tcBorders>
              <w:top w:val="single" w:sz="12" w:space="0" w:color="05AD4B"/>
            </w:tcBorders>
            <w:tcMar>
              <w:left w:w="0" w:type="dxa"/>
              <w:bottom w:w="0" w:type="dxa"/>
              <w:right w:w="0" w:type="dxa"/>
            </w:tcMar>
            <w:vAlign w:val="center"/>
          </w:tcPr>
          <w:p>
            <w:pPr>
              <w:pStyle w:val="TableContents"/>
              <w:bidi w:val="0"/>
              <w:spacing w:before="0" w:after="283"/>
              <w:ind w:left="0" w:right="0" w:firstLine="14"/>
              <w:jc w:val="left"/>
              <w:rPr/>
            </w:pPr>
            <w:r>
              <w:rPr/>
              <w:t> </w:t>
            </w:r>
          </w:p>
        </w:tc>
        <w:tc>
          <w:tcPr>
            <w:tcW w:w="956" w:type="dxa"/>
            <w:tcBorders>
              <w:top w:val="single" w:sz="12" w:space="0" w:color="05AD4B"/>
            </w:tcBorders>
            <w:tcMar>
              <w:left w:w="0" w:type="dxa"/>
              <w:bottom w:w="0" w:type="dxa"/>
              <w:right w:w="0" w:type="dxa"/>
            </w:tcMar>
            <w:vAlign w:val="center"/>
          </w:tcPr>
          <w:p>
            <w:pPr>
              <w:pStyle w:val="TableContents"/>
              <w:bidi w:val="0"/>
              <w:spacing w:before="0" w:after="283"/>
              <w:ind w:left="0" w:right="0" w:firstLine="14"/>
              <w:jc w:val="right"/>
              <w:rPr/>
            </w:pPr>
            <w:r>
              <w:rPr/>
              <w:t> </w:t>
            </w:r>
          </w:p>
        </w:tc>
      </w:tr>
      <w:tr>
        <w:trPr/>
        <w:tc>
          <w:tcPr>
            <w:tcW w:w="8865" w:type="dxa"/>
            <w:tcBorders/>
            <w:tcMar>
              <w:top w:w="0" w:type="dxa"/>
              <w:left w:w="0" w:type="dxa"/>
              <w:bottom w:w="0" w:type="dxa"/>
              <w:right w:w="0" w:type="dxa"/>
            </w:tcMar>
            <w:vAlign w:val="center"/>
          </w:tcPr>
          <w:p>
            <w:pPr>
              <w:pStyle w:val="TableContents"/>
              <w:bidi w:val="0"/>
              <w:spacing w:lineRule="auto" w:line="360" w:before="0" w:after="283"/>
              <w:ind w:left="0" w:right="0" w:firstLine="14"/>
              <w:jc w:val="left"/>
              <w:rPr>
                <w:rFonts w:ascii="Aptos;sans-serif" w:hAnsi="Aptos;sans-serif"/>
                <w:sz w:val="24"/>
              </w:rPr>
            </w:pPr>
            <w:r>
              <w:rPr>
                <w:rFonts w:ascii="Aptos;sans-serif" w:hAnsi="Aptos;sans-serif"/>
                <w:color w:val="373936"/>
                <w:sz w:val="24"/>
              </w:rPr>
              <w:t>1029 West 19</w:t>
            </w:r>
            <w:r>
              <w:rPr>
                <w:rFonts w:ascii="Aptos;sans-serif" w:hAnsi="Aptos;sans-serif"/>
                <w:color w:val="373936"/>
                <w:sz w:val="16"/>
              </w:rPr>
              <w:t>th</w:t>
            </w:r>
            <w:r>
              <w:rPr>
                <w:rFonts w:ascii="Aptos;sans-serif" w:hAnsi="Aptos;sans-serif"/>
                <w:color w:val="373936"/>
                <w:sz w:val="24"/>
              </w:rPr>
              <w:t xml:space="preserve"> Street; Chattanooga, TN 37408; USA | novonixgroup.com</w:t>
            </w:r>
          </w:p>
        </w:tc>
        <w:tc>
          <w:tcPr>
            <w:tcW w:w="9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23875" cy="447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23875" cy="4476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587" w:type="dxa"/>
        <w:jc w:val="left"/>
        <w:tblInd w:w="0" w:type="dxa"/>
        <w:tblLayout w:type="fixed"/>
        <w:tblCellMar>
          <w:top w:w="28" w:type="dxa"/>
          <w:left w:w="28" w:type="dxa"/>
          <w:bottom w:w="28" w:type="dxa"/>
          <w:right w:w="28" w:type="dxa"/>
        </w:tblCellMar>
      </w:tblPr>
      <w:tblGrid>
        <w:gridCol w:w="4331"/>
        <w:gridCol w:w="3256"/>
      </w:tblGrid>
      <w:tr>
        <w:trPr/>
        <w:tc>
          <w:tcPr>
            <w:tcW w:w="433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433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86050" cy="3905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686050" cy="390525"/>
                          </a:xfrm>
                          <a:prstGeom prst="rect">
                            <a:avLst/>
                          </a:prstGeom>
                        </pic:spPr>
                      </pic:pic>
                    </a:graphicData>
                  </a:graphic>
                </wp:inline>
              </w:drawing>
            </w:r>
          </w:p>
        </w:tc>
        <w:tc>
          <w:tcPr>
            <w:tcW w:w="3256" w:type="dxa"/>
            <w:tcBorders/>
            <w:tcMar>
              <w:top w:w="0" w:type="dxa"/>
              <w:left w:w="0" w:type="dxa"/>
              <w:bottom w:w="0" w:type="dxa"/>
              <w:right w:w="0" w:type="dxa"/>
            </w:tcMar>
            <w:vAlign w:val="center"/>
          </w:tcPr>
          <w:p>
            <w:pPr>
              <w:pStyle w:val="TableContents"/>
              <w:bidi w:val="0"/>
              <w:jc w:val="right"/>
              <w:rPr>
                <w:rFonts w:ascii="Aptos;sans-serif" w:hAnsi="Aptos;sans-serif"/>
                <w:color w:val="00AD42"/>
                <w:sz w:val="28"/>
              </w:rPr>
            </w:pPr>
            <w:r>
              <w:rPr>
                <w:rFonts w:ascii="Aptos;sans-serif" w:hAnsi="Aptos;sans-serif"/>
                <w:color w:val="00AD42"/>
                <w:sz w:val="28"/>
              </w:rPr>
              <w:t>ASX ANNOUNCEMENT</w:t>
            </w:r>
          </w:p>
          <w:p>
            <w:pPr>
              <w:pStyle w:val="TableContents"/>
              <w:bidi w:val="0"/>
              <w:spacing w:before="0" w:after="283"/>
              <w:jc w:val="right"/>
              <w:rPr>
                <w:rFonts w:ascii="Aptos;sans-serif" w:hAnsi="Aptos;sans-serif"/>
                <w:color w:val="000000"/>
                <w:sz w:val="28"/>
              </w:rPr>
            </w:pPr>
            <w:r>
              <w:rPr>
                <w:rFonts w:ascii="Aptos;sans-serif" w:hAnsi="Aptos;sans-serif"/>
                <w:color w:val="000000"/>
                <w:sz w:val="28"/>
              </w:rPr>
              <w:t>(ASX: NVX)</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both"/>
        <w:rPr>
          <w:rFonts w:ascii="Aptos;sans-serif" w:hAnsi="Aptos;sans-serif"/>
          <w:sz w:val="24"/>
        </w:rPr>
      </w:pPr>
      <w:r>
        <w:rPr>
          <w:rFonts w:ascii="Aptos;sans-serif" w:hAnsi="Aptos;sans-serif"/>
          <w:color w:val="000000"/>
          <w:sz w:val="24"/>
        </w:rPr>
        <w:t xml:space="preserve">and unknown risks, uncertainties and other factors which may cause actual results, performance, or achievements to be materially different from any future results, performance or achievements expressed or implied by the forward-looking statements. Such factors include, among others, the timely deployment and scaling of its furnace technology, ability to meet the technical specifications and demand of existing and future customers, the accuracy of estimates regarding market size, expenses, future revenue, capital requirements, needs and access for additional financing, the availability and impact and compliance with the applicable terms of government funding and other support, ability to obtain patent rights effective to protect its technologies and processes and successfully defend any challenges to such rights and prevent others from commercializing such technologies and processes, and regulatory and economic developments in the United States, Australia, and other jurisdictions. These and other factors that could affect its business and results are included in its filings with the U.S. Securities and Exchange Commission (“SEC”), including the Company’s most recent annual report on Form 20-F. Copies of these filings may be obtained by visiting the Company’s Investor Relations website at </w:t>
      </w:r>
      <w:r>
        <w:rPr>
          <w:rFonts w:ascii="Aptos;sans-serif" w:hAnsi="Aptos;sans-serif"/>
          <w:sz w:val="24"/>
        </w:rPr>
        <w:t>www.novonixgroup.com</w:t>
      </w:r>
      <w:r>
        <w:rPr>
          <w:rFonts w:ascii="Aptos;sans-serif" w:hAnsi="Aptos;sans-serif"/>
          <w:color w:val="000000"/>
          <w:sz w:val="24"/>
        </w:rPr>
        <w:t xml:space="preserve"> or the SEC’s website at </w:t>
      </w:r>
      <w:r>
        <w:rPr>
          <w:rFonts w:ascii="Aptos;sans-serif" w:hAnsi="Aptos;sans-serif"/>
          <w:sz w:val="24"/>
        </w:rPr>
        <w:t>www.sec.gov.</w:t>
      </w:r>
    </w:p>
    <w:p>
      <w:pPr>
        <w:pStyle w:val="TextBody"/>
        <w:bidi w:val="0"/>
        <w:spacing w:before="240" w:after="283"/>
        <w:jc w:val="both"/>
        <w:rPr>
          <w:rFonts w:ascii="Aptos;sans-serif" w:hAnsi="Aptos;sans-serif"/>
          <w:color w:val="000000"/>
          <w:sz w:val="24"/>
        </w:rPr>
      </w:pPr>
      <w:r>
        <w:rPr>
          <w:rFonts w:ascii="Aptos;sans-serif" w:hAnsi="Aptos;sans-serif"/>
          <w:color w:val="000000"/>
          <w:sz w:val="24"/>
        </w:rPr>
        <w:t>Forward-looking statements are not guarantees of future performance or outcomes, and actual performance and outcomes may differ materially from those made in or suggested by the forward-looking statements contained in this communication. Accordingly, you should not place undue reliance on forward-looking statements. Any forward-looking statement in this communication is based only on information currently available to us and speaks only as of the date on which it is made. The Company undertakes no obligation to update any forward-looking statement, whether written or oral, that may be made from time to time, whether as a result of new information, future developments or otherwise, except as required by law.</w:t>
      </w:r>
    </w:p>
    <w:p>
      <w:pPr>
        <w:pStyle w:val="TextBody"/>
        <w:bidi w:val="0"/>
        <w:jc w:val="left"/>
        <w:rPr/>
      </w:pPr>
      <w:r>
        <w:rPr/>
        <w:t> </w:t>
      </w:r>
    </w:p>
    <w:tbl>
      <w:tblPr>
        <w:tblW w:w="9821" w:type="dxa"/>
        <w:jc w:val="left"/>
        <w:tblInd w:w="0" w:type="dxa"/>
        <w:tblLayout w:type="fixed"/>
        <w:tblCellMar>
          <w:top w:w="28" w:type="dxa"/>
          <w:left w:w="28" w:type="dxa"/>
          <w:bottom w:w="28" w:type="dxa"/>
          <w:right w:w="28" w:type="dxa"/>
        </w:tblCellMar>
      </w:tblPr>
      <w:tblGrid>
        <w:gridCol w:w="8865"/>
        <w:gridCol w:w="956"/>
      </w:tblGrid>
      <w:tr>
        <w:trPr/>
        <w:tc>
          <w:tcPr>
            <w:tcW w:w="886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ind w:left="0" w:right="0" w:firstLine="14"/>
              <w:jc w:val="left"/>
              <w:rPr>
                <w:sz w:val="4"/>
                <w:szCs w:val="4"/>
              </w:rPr>
            </w:pPr>
            <w:r>
              <w:rPr>
                <w:sz w:val="4"/>
                <w:szCs w:val="4"/>
              </w:rPr>
            </w:r>
          </w:p>
        </w:tc>
      </w:tr>
      <w:tr>
        <w:trPr/>
        <w:tc>
          <w:tcPr>
            <w:tcW w:w="8865" w:type="dxa"/>
            <w:tcBorders>
              <w:top w:val="single" w:sz="12" w:space="0" w:color="05AD4B"/>
            </w:tcBorders>
            <w:tcMar>
              <w:left w:w="0" w:type="dxa"/>
              <w:bottom w:w="0" w:type="dxa"/>
              <w:right w:w="0" w:type="dxa"/>
            </w:tcMar>
            <w:vAlign w:val="center"/>
          </w:tcPr>
          <w:p>
            <w:pPr>
              <w:pStyle w:val="TableContents"/>
              <w:bidi w:val="0"/>
              <w:spacing w:before="0" w:after="283"/>
              <w:ind w:left="0" w:right="0" w:firstLine="14"/>
              <w:jc w:val="left"/>
              <w:rPr/>
            </w:pPr>
            <w:r>
              <w:rPr/>
              <w:t> </w:t>
            </w:r>
          </w:p>
        </w:tc>
        <w:tc>
          <w:tcPr>
            <w:tcW w:w="956" w:type="dxa"/>
            <w:tcBorders>
              <w:top w:val="single" w:sz="12" w:space="0" w:color="05AD4B"/>
            </w:tcBorders>
            <w:tcMar>
              <w:left w:w="0" w:type="dxa"/>
              <w:bottom w:w="0" w:type="dxa"/>
              <w:right w:w="0" w:type="dxa"/>
            </w:tcMar>
            <w:vAlign w:val="center"/>
          </w:tcPr>
          <w:p>
            <w:pPr>
              <w:pStyle w:val="TableContents"/>
              <w:bidi w:val="0"/>
              <w:spacing w:before="0" w:after="283"/>
              <w:ind w:left="0" w:right="0" w:firstLine="14"/>
              <w:jc w:val="right"/>
              <w:rPr/>
            </w:pPr>
            <w:r>
              <w:rPr/>
              <w:t> </w:t>
            </w:r>
          </w:p>
        </w:tc>
      </w:tr>
      <w:tr>
        <w:trPr/>
        <w:tc>
          <w:tcPr>
            <w:tcW w:w="8865" w:type="dxa"/>
            <w:tcBorders/>
            <w:tcMar>
              <w:top w:w="0" w:type="dxa"/>
              <w:left w:w="0" w:type="dxa"/>
              <w:bottom w:w="0" w:type="dxa"/>
              <w:right w:w="0" w:type="dxa"/>
            </w:tcMar>
            <w:vAlign w:val="center"/>
          </w:tcPr>
          <w:p>
            <w:pPr>
              <w:pStyle w:val="TableContents"/>
              <w:bidi w:val="0"/>
              <w:spacing w:lineRule="auto" w:line="360" w:before="0" w:after="283"/>
              <w:ind w:left="0" w:right="0" w:firstLine="14"/>
              <w:jc w:val="left"/>
              <w:rPr>
                <w:rFonts w:ascii="Aptos;sans-serif" w:hAnsi="Aptos;sans-serif"/>
                <w:sz w:val="24"/>
              </w:rPr>
            </w:pPr>
            <w:r>
              <w:rPr>
                <w:rFonts w:ascii="Aptos;sans-serif" w:hAnsi="Aptos;sans-serif"/>
                <w:color w:val="373936"/>
                <w:sz w:val="24"/>
              </w:rPr>
              <w:t>1029 West 19</w:t>
            </w:r>
            <w:r>
              <w:rPr>
                <w:rFonts w:ascii="Aptos;sans-serif" w:hAnsi="Aptos;sans-serif"/>
                <w:color w:val="373936"/>
                <w:sz w:val="16"/>
              </w:rPr>
              <w:t>th</w:t>
            </w:r>
            <w:r>
              <w:rPr>
                <w:rFonts w:ascii="Aptos;sans-serif" w:hAnsi="Aptos;sans-serif"/>
                <w:color w:val="373936"/>
                <w:sz w:val="24"/>
              </w:rPr>
              <w:t xml:space="preserve"> Street; Chattanooga, TN 37408; USA | novonixgroup.com</w:t>
            </w:r>
          </w:p>
        </w:tc>
        <w:tc>
          <w:tcPr>
            <w:tcW w:w="9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23875" cy="447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23875" cy="4476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 w:name="nvx-ex99_2.htm"/>
      <w:bookmarkStart w:id="5" w:name="ksnvxex99_2"/>
      <w:bookmarkEnd w:id="4"/>
      <w:bookmarkEnd w:id="5"/>
      <w:r>
        <w:rPr/>
        <w:t> </w:t>
      </w:r>
      <w:r>
        <w:br w:type="page"/>
      </w:r>
    </w:p>
    <w:tbl>
      <w:tblPr>
        <w:tblW w:w="7587" w:type="dxa"/>
        <w:jc w:val="left"/>
        <w:tblInd w:w="0" w:type="dxa"/>
        <w:tblLayout w:type="fixed"/>
        <w:tblCellMar>
          <w:top w:w="28" w:type="dxa"/>
          <w:left w:w="28" w:type="dxa"/>
          <w:bottom w:w="28" w:type="dxa"/>
          <w:right w:w="28" w:type="dxa"/>
        </w:tblCellMar>
      </w:tblPr>
      <w:tblGrid>
        <w:gridCol w:w="4331"/>
        <w:gridCol w:w="3256"/>
      </w:tblGrid>
      <w:tr>
        <w:trPr/>
        <w:tc>
          <w:tcPr>
            <w:tcW w:w="433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4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b/>
                <w:color w:val="000000"/>
                <w:sz w:val="24"/>
              </w:rPr>
            </w:pPr>
            <w:r>
              <w:rPr>
                <w:rFonts w:ascii="Aptos;sans-serif" w:hAnsi="Aptos;sans-serif"/>
                <w:b/>
                <w:color w:val="000000"/>
                <w:sz w:val="24"/>
              </w:rPr>
              <w:t>Exhibit 99.2</w:t>
            </w:r>
          </w:p>
        </w:tc>
      </w:tr>
      <w:tr>
        <w:trPr/>
        <w:tc>
          <w:tcPr>
            <w:tcW w:w="433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86050" cy="3905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686050" cy="390525"/>
                          </a:xfrm>
                          <a:prstGeom prst="rect">
                            <a:avLst/>
                          </a:prstGeom>
                        </pic:spPr>
                      </pic:pic>
                    </a:graphicData>
                  </a:graphic>
                </wp:inline>
              </w:drawing>
            </w:r>
          </w:p>
        </w:tc>
        <w:tc>
          <w:tcPr>
            <w:tcW w:w="3256" w:type="dxa"/>
            <w:tcBorders/>
            <w:tcMar>
              <w:top w:w="0" w:type="dxa"/>
              <w:left w:w="0" w:type="dxa"/>
              <w:bottom w:w="0" w:type="dxa"/>
              <w:right w:w="0" w:type="dxa"/>
            </w:tcMar>
            <w:vAlign w:val="center"/>
          </w:tcPr>
          <w:p>
            <w:pPr>
              <w:pStyle w:val="TableContents"/>
              <w:bidi w:val="0"/>
              <w:jc w:val="right"/>
              <w:rPr>
                <w:rFonts w:ascii="Aptos;sans-serif" w:hAnsi="Aptos;sans-serif"/>
                <w:color w:val="00AD42"/>
                <w:sz w:val="28"/>
              </w:rPr>
            </w:pPr>
            <w:r>
              <w:rPr>
                <w:rFonts w:ascii="Aptos;sans-serif" w:hAnsi="Aptos;sans-serif"/>
                <w:color w:val="00AD42"/>
                <w:sz w:val="28"/>
              </w:rPr>
              <w:t>ASX ANNOUNCEMENT</w:t>
            </w:r>
          </w:p>
          <w:p>
            <w:pPr>
              <w:pStyle w:val="TableContents"/>
              <w:bidi w:val="0"/>
              <w:spacing w:before="0" w:after="283"/>
              <w:jc w:val="right"/>
              <w:rPr>
                <w:rFonts w:ascii="Aptos;sans-serif" w:hAnsi="Aptos;sans-serif"/>
                <w:color w:val="000000"/>
                <w:sz w:val="28"/>
              </w:rPr>
            </w:pPr>
            <w:r>
              <w:rPr>
                <w:rFonts w:ascii="Aptos;sans-serif" w:hAnsi="Aptos;sans-serif"/>
                <w:color w:val="000000"/>
                <w:sz w:val="28"/>
              </w:rPr>
              <w:t>(ASX: NVX)</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1"/>
        <w:bidi w:val="0"/>
        <w:jc w:val="left"/>
        <w:rPr>
          <w:rFonts w:ascii="Aptos;sans-serif" w:hAnsi="Aptos;sans-serif"/>
          <w:color w:val="00AD42"/>
          <w:sz w:val="40"/>
        </w:rPr>
      </w:pPr>
      <w:r>
        <w:rPr>
          <w:rFonts w:ascii="Aptos;sans-serif" w:hAnsi="Aptos;sans-serif"/>
          <w:color w:val="00AD42"/>
          <w:sz w:val="40"/>
        </w:rPr>
        <w:t>Lead Customer Feedback Marks Progress in Qualification</w:t>
      </w:r>
    </w:p>
    <w:p>
      <w:pPr>
        <w:pStyle w:val="TextBody"/>
        <w:bidi w:val="0"/>
        <w:spacing w:before="240" w:after="283"/>
        <w:jc w:val="left"/>
        <w:rPr>
          <w:rFonts w:ascii="Aptos;sans-serif" w:hAnsi="Aptos;sans-serif"/>
          <w:sz w:val="24"/>
        </w:rPr>
      </w:pPr>
      <w:r>
        <w:rPr>
          <w:rFonts w:ascii="Aptos;sans-serif" w:hAnsi="Aptos;sans-serif"/>
          <w:b/>
          <w:color w:val="000000"/>
          <w:sz w:val="24"/>
        </w:rPr>
        <w:t xml:space="preserve">Chattanooga, TN (USA), 10 September 2026 </w:t>
      </w:r>
      <w:r>
        <w:rPr>
          <w:rFonts w:ascii="Aptos;sans-serif" w:hAnsi="Aptos;sans-serif"/>
          <w:color w:val="000000"/>
          <w:sz w:val="24"/>
        </w:rPr>
        <w:t>- NOVONIX Limited (NASDAQ: NVX, ASX: NVX) (“NOVONIX” or the “Company”), a leading battery materials company, today received testing results from the initial shipment of a mass production qualification sample (“C-sample”) of synthetic graphite anode active material (“Synthetic Graphite AAM”) from its lead customer (the “Customer”). The Customer’s testing shows the material met 12 out of the 14 total specification parameters. For the two specifications not met, one was within approximately 1% of the requirement while the other was assessed on a pass/fail basis under the Customer’s testing criteria. NOVONIX’s internal testing indicated that the material met all required specifications.</w:t>
      </w:r>
    </w:p>
    <w:p>
      <w:pPr>
        <w:pStyle w:val="TextBody"/>
        <w:bidi w:val="0"/>
        <w:spacing w:before="240" w:after="283"/>
        <w:jc w:val="left"/>
        <w:rPr>
          <w:rFonts w:ascii="Aptos;sans-serif" w:hAnsi="Aptos;sans-serif"/>
          <w:color w:val="000000"/>
          <w:sz w:val="24"/>
        </w:rPr>
      </w:pPr>
      <w:r>
        <w:rPr>
          <w:rFonts w:ascii="Aptos;sans-serif" w:hAnsi="Aptos;sans-serif"/>
          <w:color w:val="000000"/>
          <w:sz w:val="24"/>
        </w:rPr>
        <w:t>Qualification of anode active materials is a rigorous and iterative process, involving highly sensitive testing methodologies. Variations in testing equipment, protocols, environmental conditions, and other factors can influence measured results.</w:t>
      </w:r>
    </w:p>
    <w:p>
      <w:pPr>
        <w:pStyle w:val="TextBody"/>
        <w:bidi w:val="0"/>
        <w:spacing w:before="240" w:after="283"/>
        <w:jc w:val="both"/>
        <w:rPr>
          <w:rFonts w:ascii="Aptos;sans-serif" w:hAnsi="Aptos;sans-serif"/>
          <w:color w:val="000000"/>
          <w:sz w:val="24"/>
        </w:rPr>
      </w:pPr>
      <w:r>
        <w:rPr>
          <w:rFonts w:ascii="Aptos;sans-serif" w:hAnsi="Aptos;sans-serif"/>
          <w:color w:val="000000"/>
          <w:sz w:val="24"/>
        </w:rPr>
        <w:t>With the feedback received from the Customer, NOVONIX has identified actions which will address the remaining specification parameters and continue progressing toward full scale commercial production.</w:t>
      </w:r>
    </w:p>
    <w:p>
      <w:pPr>
        <w:pStyle w:val="TextBody"/>
        <w:bidi w:val="0"/>
        <w:spacing w:before="240" w:after="283"/>
        <w:jc w:val="left"/>
        <w:rPr/>
      </w:pPr>
      <w:r>
        <w:rPr>
          <w:color w:val="000000"/>
        </w:rPr>
        <w:t>“</w:t>
      </w:r>
      <w:r>
        <w:rPr>
          <w:rFonts w:ascii="Aptos;sans-serif" w:hAnsi="Aptos;sans-serif"/>
          <w:color w:val="000000"/>
          <w:sz w:val="24"/>
        </w:rPr>
        <w:t>The testing and feedback from NOVONIX’s lead customer enables targeted actions to achieve final material confirmation and helps further the goal of development of a secure North American battery materials supply chain,” said Mike O’Kronley, CEO of NOVONIX. “Through the work of our dedicated team working closely with our customers to validate a North American source of synthetic graphite, NOVONIX sets itself apart as an advanced provider of critical battery materials.”</w:t>
      </w:r>
    </w:p>
    <w:p>
      <w:pPr>
        <w:pStyle w:val="TextBody"/>
        <w:bidi w:val="0"/>
        <w:spacing w:before="240" w:after="283"/>
        <w:jc w:val="left"/>
        <w:rPr>
          <w:rFonts w:ascii="Aptos;sans-serif" w:hAnsi="Aptos;sans-serif"/>
          <w:color w:val="000000"/>
          <w:sz w:val="24"/>
        </w:rPr>
      </w:pPr>
      <w:r>
        <w:rPr>
          <w:rFonts w:ascii="Aptos;sans-serif" w:hAnsi="Aptos;sans-serif"/>
          <w:color w:val="000000"/>
          <w:sz w:val="24"/>
        </w:rPr>
        <w:t>The Company continues to expect commencement of mass production sales to its lead customer to begin in the second half of 2027, subject to successful completion of the qualification process.</w:t>
      </w:r>
    </w:p>
    <w:p>
      <w:pPr>
        <w:pStyle w:val="TextBody"/>
        <w:bidi w:val="0"/>
        <w:spacing w:before="240" w:after="283"/>
        <w:jc w:val="left"/>
        <w:rPr>
          <w:rFonts w:ascii="Aptos;sans-serif" w:hAnsi="Aptos;sans-serif"/>
          <w:color w:val="000000"/>
          <w:sz w:val="24"/>
        </w:rPr>
      </w:pPr>
      <w:r>
        <w:rPr>
          <w:rFonts w:ascii="Aptos;sans-serif" w:hAnsi="Aptos;sans-serif"/>
          <w:color w:val="000000"/>
          <w:sz w:val="24"/>
        </w:rPr>
        <w:t>This announcement has been authorised for release by NOVONIX Chairman, Admiral Robert J. Natter, USN Ret.</w:t>
      </w:r>
    </w:p>
    <w:p>
      <w:pPr>
        <w:pStyle w:val="Heading2"/>
        <w:bidi w:val="0"/>
        <w:spacing w:before="240" w:after="283"/>
        <w:jc w:val="left"/>
        <w:rPr>
          <w:rFonts w:ascii="Aptos;sans-serif" w:hAnsi="Aptos;sans-serif"/>
          <w:color w:val="000000"/>
          <w:sz w:val="24"/>
        </w:rPr>
      </w:pPr>
      <w:r>
        <w:rPr>
          <w:rFonts w:ascii="Aptos;sans-serif" w:hAnsi="Aptos;sans-serif"/>
          <w:color w:val="000000"/>
          <w:sz w:val="24"/>
        </w:rPr>
        <w:t>About NOVONIX</w:t>
      </w:r>
    </w:p>
    <w:p>
      <w:pPr>
        <w:pStyle w:val="TextBody"/>
        <w:bidi w:val="0"/>
        <w:jc w:val="left"/>
        <w:rPr>
          <w:rFonts w:ascii="Aptos;sans-serif" w:hAnsi="Aptos;sans-serif"/>
          <w:color w:val="000000"/>
          <w:sz w:val="24"/>
        </w:rPr>
      </w:pPr>
      <w:r>
        <w:rPr>
          <w:rFonts w:ascii="Aptos;sans-serif" w:hAnsi="Aptos;sans-serif"/>
          <w:color w:val="000000"/>
          <w:sz w:val="24"/>
        </w:rPr>
        <w:t xml:space="preserve">NOVONIX is building a resilient North American battery materials supply chain to reduce risk and support U.S. energy independence. Headquartered in Chattanooga, Tennessee, the company produces high-performance synthetic graphite anode materials for lithium-ion batteries, serving </w:t>
      </w:r>
    </w:p>
    <w:p>
      <w:pPr>
        <w:pStyle w:val="TextBody"/>
        <w:bidi w:val="0"/>
        <w:jc w:val="left"/>
        <w:rPr/>
      </w:pPr>
      <w:r>
        <w:rPr/>
        <w:t> </w:t>
      </w:r>
    </w:p>
    <w:tbl>
      <w:tblPr>
        <w:tblW w:w="9821" w:type="dxa"/>
        <w:jc w:val="left"/>
        <w:tblInd w:w="0" w:type="dxa"/>
        <w:tblLayout w:type="fixed"/>
        <w:tblCellMar>
          <w:top w:w="28" w:type="dxa"/>
          <w:left w:w="28" w:type="dxa"/>
          <w:bottom w:w="28" w:type="dxa"/>
          <w:right w:w="28" w:type="dxa"/>
        </w:tblCellMar>
      </w:tblPr>
      <w:tblGrid>
        <w:gridCol w:w="8865"/>
        <w:gridCol w:w="956"/>
      </w:tblGrid>
      <w:tr>
        <w:trPr/>
        <w:tc>
          <w:tcPr>
            <w:tcW w:w="886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ind w:left="0" w:right="0" w:firstLine="14"/>
              <w:jc w:val="left"/>
              <w:rPr>
                <w:sz w:val="4"/>
                <w:szCs w:val="4"/>
              </w:rPr>
            </w:pPr>
            <w:r>
              <w:rPr>
                <w:sz w:val="4"/>
                <w:szCs w:val="4"/>
              </w:rPr>
            </w:r>
          </w:p>
        </w:tc>
      </w:tr>
      <w:tr>
        <w:trPr/>
        <w:tc>
          <w:tcPr>
            <w:tcW w:w="8865" w:type="dxa"/>
            <w:tcBorders>
              <w:top w:val="single" w:sz="12" w:space="0" w:color="05AD4B"/>
            </w:tcBorders>
            <w:tcMar>
              <w:left w:w="0" w:type="dxa"/>
              <w:bottom w:w="0" w:type="dxa"/>
              <w:right w:w="0" w:type="dxa"/>
            </w:tcMar>
            <w:vAlign w:val="center"/>
          </w:tcPr>
          <w:p>
            <w:pPr>
              <w:pStyle w:val="TableContents"/>
              <w:bidi w:val="0"/>
              <w:spacing w:before="0" w:after="283"/>
              <w:ind w:left="0" w:right="0" w:firstLine="14"/>
              <w:jc w:val="left"/>
              <w:rPr/>
            </w:pPr>
            <w:r>
              <w:rPr/>
              <w:t> </w:t>
            </w:r>
          </w:p>
        </w:tc>
        <w:tc>
          <w:tcPr>
            <w:tcW w:w="956" w:type="dxa"/>
            <w:tcBorders>
              <w:top w:val="single" w:sz="12" w:space="0" w:color="05AD4B"/>
            </w:tcBorders>
            <w:tcMar>
              <w:left w:w="0" w:type="dxa"/>
              <w:bottom w:w="0" w:type="dxa"/>
              <w:right w:w="0" w:type="dxa"/>
            </w:tcMar>
            <w:vAlign w:val="center"/>
          </w:tcPr>
          <w:p>
            <w:pPr>
              <w:pStyle w:val="TableContents"/>
              <w:bidi w:val="0"/>
              <w:spacing w:before="0" w:after="283"/>
              <w:ind w:left="0" w:right="0" w:firstLine="14"/>
              <w:jc w:val="right"/>
              <w:rPr/>
            </w:pPr>
            <w:r>
              <w:rPr/>
              <w:t> </w:t>
            </w:r>
          </w:p>
        </w:tc>
      </w:tr>
      <w:tr>
        <w:trPr/>
        <w:tc>
          <w:tcPr>
            <w:tcW w:w="8865" w:type="dxa"/>
            <w:tcBorders/>
            <w:tcMar>
              <w:top w:w="0" w:type="dxa"/>
              <w:left w:w="0" w:type="dxa"/>
              <w:bottom w:w="0" w:type="dxa"/>
              <w:right w:w="0" w:type="dxa"/>
            </w:tcMar>
            <w:vAlign w:val="center"/>
          </w:tcPr>
          <w:p>
            <w:pPr>
              <w:pStyle w:val="TableContents"/>
              <w:bidi w:val="0"/>
              <w:spacing w:lineRule="auto" w:line="360" w:before="0" w:after="283"/>
              <w:ind w:left="0" w:right="0" w:firstLine="14"/>
              <w:jc w:val="left"/>
              <w:rPr>
                <w:rFonts w:ascii="Aptos;sans-serif" w:hAnsi="Aptos;sans-serif"/>
                <w:sz w:val="24"/>
              </w:rPr>
            </w:pPr>
            <w:r>
              <w:rPr>
                <w:rFonts w:ascii="Aptos;sans-serif" w:hAnsi="Aptos;sans-serif"/>
                <w:color w:val="373936"/>
                <w:sz w:val="24"/>
              </w:rPr>
              <w:t>1029 West 19</w:t>
            </w:r>
            <w:r>
              <w:rPr>
                <w:rFonts w:ascii="Aptos;sans-serif" w:hAnsi="Aptos;sans-serif"/>
                <w:color w:val="373936"/>
                <w:sz w:val="16"/>
              </w:rPr>
              <w:t>th</w:t>
            </w:r>
            <w:r>
              <w:rPr>
                <w:rFonts w:ascii="Aptos;sans-serif" w:hAnsi="Aptos;sans-serif"/>
                <w:color w:val="373936"/>
                <w:sz w:val="24"/>
              </w:rPr>
              <w:t xml:space="preserve"> Street; Chattanooga, TN 37408; USA | novonixgroup.com</w:t>
            </w:r>
          </w:p>
        </w:tc>
        <w:tc>
          <w:tcPr>
            <w:tcW w:w="9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23875" cy="447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23875" cy="4476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7587" w:type="dxa"/>
        <w:jc w:val="left"/>
        <w:tblInd w:w="0" w:type="dxa"/>
        <w:tblLayout w:type="fixed"/>
        <w:tblCellMar>
          <w:top w:w="28" w:type="dxa"/>
          <w:left w:w="28" w:type="dxa"/>
          <w:bottom w:w="28" w:type="dxa"/>
          <w:right w:w="28" w:type="dxa"/>
        </w:tblCellMar>
      </w:tblPr>
      <w:tblGrid>
        <w:gridCol w:w="4331"/>
        <w:gridCol w:w="3256"/>
      </w:tblGrid>
      <w:tr>
        <w:trPr/>
        <w:tc>
          <w:tcPr>
            <w:tcW w:w="433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433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86050" cy="3905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686050" cy="390525"/>
                          </a:xfrm>
                          <a:prstGeom prst="rect">
                            <a:avLst/>
                          </a:prstGeom>
                        </pic:spPr>
                      </pic:pic>
                    </a:graphicData>
                  </a:graphic>
                </wp:inline>
              </w:drawing>
            </w:r>
          </w:p>
        </w:tc>
        <w:tc>
          <w:tcPr>
            <w:tcW w:w="3256" w:type="dxa"/>
            <w:tcBorders/>
            <w:tcMar>
              <w:top w:w="0" w:type="dxa"/>
              <w:left w:w="0" w:type="dxa"/>
              <w:bottom w:w="0" w:type="dxa"/>
              <w:right w:w="0" w:type="dxa"/>
            </w:tcMar>
            <w:vAlign w:val="center"/>
          </w:tcPr>
          <w:p>
            <w:pPr>
              <w:pStyle w:val="TableContents"/>
              <w:bidi w:val="0"/>
              <w:jc w:val="right"/>
              <w:rPr>
                <w:rFonts w:ascii="Aptos;sans-serif" w:hAnsi="Aptos;sans-serif"/>
                <w:color w:val="00AD42"/>
                <w:sz w:val="28"/>
              </w:rPr>
            </w:pPr>
            <w:r>
              <w:rPr>
                <w:rFonts w:ascii="Aptos;sans-serif" w:hAnsi="Aptos;sans-serif"/>
                <w:color w:val="00AD42"/>
                <w:sz w:val="28"/>
              </w:rPr>
              <w:t>ASX ANNOUNCEMENT</w:t>
            </w:r>
          </w:p>
          <w:p>
            <w:pPr>
              <w:pStyle w:val="TableContents"/>
              <w:bidi w:val="0"/>
              <w:spacing w:before="0" w:after="283"/>
              <w:jc w:val="right"/>
              <w:rPr>
                <w:rFonts w:ascii="Aptos;sans-serif" w:hAnsi="Aptos;sans-serif"/>
                <w:color w:val="000000"/>
                <w:sz w:val="28"/>
              </w:rPr>
            </w:pPr>
            <w:r>
              <w:rPr>
                <w:rFonts w:ascii="Aptos;sans-serif" w:hAnsi="Aptos;sans-serif"/>
                <w:color w:val="000000"/>
                <w:sz w:val="28"/>
              </w:rPr>
              <w:t>(ASX: NVX)</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energy storage, electric vehicles, and industrial markets. Through proprietary technologies and expanding manufacturing capacity, NOVONIX is scaling critical battery materials to meet growing global demand.</w:t>
      </w:r>
    </w:p>
    <w:p>
      <w:pPr>
        <w:pStyle w:val="TextBody"/>
        <w:bidi w:val="0"/>
        <w:spacing w:before="360" w:after="283"/>
        <w:jc w:val="left"/>
        <w:rPr>
          <w:rFonts w:ascii="Aptos;sans-serif" w:hAnsi="Aptos;sans-serif"/>
          <w:sz w:val="24"/>
        </w:rPr>
      </w:pPr>
      <w:r>
        <w:rPr>
          <w:rFonts w:ascii="Aptos;sans-serif" w:hAnsi="Aptos;sans-serif"/>
          <w:color w:val="000000"/>
          <w:sz w:val="24"/>
        </w:rPr>
        <w:t xml:space="preserve">To learn more, visit us at </w:t>
      </w:r>
      <w:r>
        <w:rPr>
          <w:rFonts w:ascii="Aptos;sans-serif" w:hAnsi="Aptos;sans-serif"/>
          <w:sz w:val="24"/>
        </w:rPr>
        <w:t>www.novonixgroup.com</w:t>
      </w:r>
      <w:r>
        <w:rPr>
          <w:rFonts w:ascii="Aptos;sans-serif" w:hAnsi="Aptos;sans-serif"/>
          <w:color w:val="00AD42"/>
          <w:sz w:val="24"/>
        </w:rPr>
        <w:t xml:space="preserve"> </w:t>
      </w:r>
      <w:r>
        <w:rPr>
          <w:rFonts w:ascii="Aptos;sans-serif" w:hAnsi="Aptos;sans-serif"/>
          <w:color w:val="000000"/>
          <w:sz w:val="24"/>
        </w:rPr>
        <w:t xml:space="preserve">or on </w:t>
      </w:r>
      <w:r>
        <w:rPr>
          <w:rFonts w:ascii="Aptos;sans-serif" w:hAnsi="Aptos;sans-serif"/>
          <w:sz w:val="24"/>
        </w:rPr>
        <w:t>LinkedIn</w:t>
      </w:r>
      <w:r>
        <w:rPr>
          <w:rFonts w:ascii="Aptos;sans-serif" w:hAnsi="Aptos;sans-serif"/>
          <w:color w:val="00AD42"/>
          <w:sz w:val="24"/>
        </w:rPr>
        <w:t xml:space="preserve"> </w:t>
      </w:r>
      <w:r>
        <w:rPr>
          <w:rFonts w:ascii="Aptos;sans-serif" w:hAnsi="Aptos;sans-serif"/>
          <w:color w:val="000000"/>
          <w:sz w:val="24"/>
        </w:rPr>
        <w:t xml:space="preserve">and </w:t>
      </w:r>
      <w:r>
        <w:rPr>
          <w:rFonts w:ascii="Aptos;sans-serif" w:hAnsi="Aptos;sans-serif"/>
          <w:sz w:val="24"/>
        </w:rPr>
        <w:t>X</w:t>
      </w:r>
      <w:r>
        <w:rPr>
          <w:rFonts w:ascii="Aptos;sans-serif" w:hAnsi="Aptos;sans-serif"/>
          <w:color w:val="000000"/>
          <w:sz w:val="24"/>
        </w:rPr>
        <w:t>.</w:t>
      </w:r>
    </w:p>
    <w:p>
      <w:pPr>
        <w:pStyle w:val="Heading2"/>
        <w:bidi w:val="0"/>
        <w:spacing w:before="360" w:after="283"/>
        <w:jc w:val="left"/>
        <w:rPr>
          <w:rFonts w:ascii="Aptos;sans-serif" w:hAnsi="Aptos;sans-serif"/>
          <w:color w:val="000000"/>
          <w:sz w:val="24"/>
        </w:rPr>
      </w:pPr>
      <w:r>
        <w:rPr>
          <w:rFonts w:ascii="Aptos;sans-serif" w:hAnsi="Aptos;sans-serif"/>
          <w:color w:val="000000"/>
          <w:sz w:val="24"/>
        </w:rPr>
        <w:t>For NOVONIX Limited</w:t>
      </w:r>
    </w:p>
    <w:p>
      <w:pPr>
        <w:pStyle w:val="TextBody"/>
        <w:bidi w:val="0"/>
        <w:spacing w:before="40" w:after="283"/>
        <w:jc w:val="left"/>
        <w:rPr>
          <w:rFonts w:ascii="Aptos;sans-serif" w:hAnsi="Aptos;sans-serif"/>
          <w:sz w:val="24"/>
        </w:rPr>
      </w:pPr>
      <w:r>
        <w:rPr>
          <w:rFonts w:ascii="Aptos;sans-serif" w:hAnsi="Aptos;sans-serif"/>
          <w:color w:val="000000"/>
          <w:sz w:val="24"/>
        </w:rPr>
        <w:t xml:space="preserve">Investors: </w:t>
      </w:r>
      <w:r>
        <w:rPr>
          <w:rFonts w:ascii="Aptos;sans-serif" w:hAnsi="Aptos;sans-serif"/>
          <w:sz w:val="24"/>
        </w:rPr>
        <w:t>ir@novonixgroup.com</w:t>
      </w:r>
      <w:r>
        <w:rPr>
          <w:rFonts w:ascii="Aptos;sans-serif" w:hAnsi="Aptos;sans-serif"/>
          <w:color w:val="00AD42"/>
          <w:sz w:val="24"/>
        </w:rPr>
        <w:t xml:space="preserve"> </w:t>
      </w:r>
    </w:p>
    <w:p>
      <w:pPr>
        <w:pStyle w:val="TextBody"/>
        <w:bidi w:val="0"/>
        <w:spacing w:before="40" w:after="283"/>
        <w:jc w:val="left"/>
        <w:rPr>
          <w:rFonts w:ascii="Aptos;sans-serif" w:hAnsi="Aptos;sans-serif"/>
          <w:sz w:val="24"/>
        </w:rPr>
      </w:pPr>
      <w:r>
        <w:rPr>
          <w:rFonts w:ascii="Aptos;sans-serif" w:hAnsi="Aptos;sans-serif"/>
          <w:color w:val="000000"/>
          <w:sz w:val="24"/>
        </w:rPr>
        <w:t xml:space="preserve">Media: </w:t>
      </w:r>
      <w:r>
        <w:rPr>
          <w:rFonts w:ascii="Aptos;sans-serif" w:hAnsi="Aptos;sans-serif"/>
          <w:sz w:val="24"/>
        </w:rPr>
        <w:t>media@novonixgroup.com</w:t>
      </w:r>
    </w:p>
    <w:p>
      <w:pPr>
        <w:pStyle w:val="Heading2"/>
        <w:bidi w:val="0"/>
        <w:spacing w:before="600" w:after="283"/>
        <w:jc w:val="left"/>
        <w:rPr>
          <w:rFonts w:ascii="Aptos;sans-serif" w:hAnsi="Aptos;sans-serif"/>
          <w:color w:val="000000"/>
          <w:sz w:val="24"/>
        </w:rPr>
      </w:pPr>
      <w:r>
        <w:rPr>
          <w:rFonts w:ascii="Aptos;sans-serif" w:hAnsi="Aptos;sans-serif"/>
          <w:color w:val="000000"/>
          <w:sz w:val="24"/>
        </w:rPr>
        <w:t>Cautionary Note Regarding Forward-Looking Statements</w:t>
      </w:r>
    </w:p>
    <w:p>
      <w:pPr>
        <w:pStyle w:val="TextBody"/>
        <w:bidi w:val="0"/>
        <w:spacing w:before="40" w:after="283"/>
        <w:jc w:val="left"/>
        <w:rPr>
          <w:rFonts w:ascii="Aptos;sans-serif" w:hAnsi="Aptos;sans-serif"/>
          <w:color w:val="000000"/>
          <w:sz w:val="24"/>
        </w:rPr>
      </w:pPr>
      <w:r>
        <w:rPr>
          <w:rFonts w:ascii="Aptos;sans-serif" w:hAnsi="Aptos;sans-serif"/>
          <w:color w:val="000000"/>
          <w:sz w:val="24"/>
        </w:rPr>
        <w:t>This communication contains forward-looking statements about the Company and the industry in which it operates. Forward-looking statements can generally be identified by use of words such as “anticipate,” “believe,” “contemplate,” “continue,” “could,” “estimate,” “expect,” “intend,” “may,” “plan,” “potential,” “predict,” “project,” “should,” “target,” “will,” or “would,” or other similar expressions. Examples of forward-looking statements in this communication include, among others, statements made regarding anticipated qualification and production and the timelines therefor, actions to be taken to address customer test results, the deployment and scaling of furnace technology and the timeline therefor, the creation and development of new technology, and efforts to develop a North American battery materials supply chain.</w:t>
      </w:r>
    </w:p>
    <w:p>
      <w:pPr>
        <w:pStyle w:val="TextBody"/>
        <w:bidi w:val="0"/>
        <w:spacing w:before="160" w:after="283"/>
        <w:jc w:val="left"/>
        <w:rPr>
          <w:rFonts w:ascii="Aptos;sans-serif" w:hAnsi="Aptos;sans-serif"/>
          <w:color w:val="000000"/>
          <w:sz w:val="24"/>
        </w:rPr>
      </w:pPr>
      <w:r>
        <w:rPr>
          <w:rFonts w:ascii="Aptos;sans-serif" w:hAnsi="Aptos;sans-serif"/>
          <w:color w:val="000000"/>
          <w:sz w:val="24"/>
        </w:rPr>
        <w:t xml:space="preserve">The Company has based such statements on current expectations and projections about future events and trends that it believes may affect its financial condition, results of operations, business strategy and financial needs. Such forward-looking statements involve and are subject to known and unknown risks, uncertainties and other factors which may cause actual results, performance, or achievements to be materially different from any future results, performance or achievements expressed or implied by the forward-looking statements. Such factors include, among others, the timely deployment and scaling of its furnace technology, ability to meet the technical specifications and demand of existing and future customers, the accuracy of estimates regarding market size, expenses, future revenue, capital requirements, needs and access for additional financing, the availability and impact and compliance with the applicable terms of government funding and other support, ability to obtain patent rights effective to protect its technologies and processes and successfully defend any challenges to such rights and prevent </w:t>
      </w:r>
    </w:p>
    <w:p>
      <w:pPr>
        <w:pStyle w:val="TextBody"/>
        <w:bidi w:val="0"/>
        <w:jc w:val="left"/>
        <w:rPr/>
      </w:pPr>
      <w:r>
        <w:rPr/>
        <w:t> </w:t>
      </w:r>
    </w:p>
    <w:tbl>
      <w:tblPr>
        <w:tblW w:w="9821" w:type="dxa"/>
        <w:jc w:val="left"/>
        <w:tblInd w:w="0" w:type="dxa"/>
        <w:tblLayout w:type="fixed"/>
        <w:tblCellMar>
          <w:top w:w="28" w:type="dxa"/>
          <w:left w:w="28" w:type="dxa"/>
          <w:bottom w:w="28" w:type="dxa"/>
          <w:right w:w="28" w:type="dxa"/>
        </w:tblCellMar>
      </w:tblPr>
      <w:tblGrid>
        <w:gridCol w:w="8865"/>
        <w:gridCol w:w="956"/>
      </w:tblGrid>
      <w:tr>
        <w:trPr/>
        <w:tc>
          <w:tcPr>
            <w:tcW w:w="886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ind w:left="0" w:right="0" w:firstLine="14"/>
              <w:jc w:val="left"/>
              <w:rPr>
                <w:sz w:val="4"/>
                <w:szCs w:val="4"/>
              </w:rPr>
            </w:pPr>
            <w:r>
              <w:rPr>
                <w:sz w:val="4"/>
                <w:szCs w:val="4"/>
              </w:rPr>
            </w:r>
          </w:p>
        </w:tc>
      </w:tr>
      <w:tr>
        <w:trPr/>
        <w:tc>
          <w:tcPr>
            <w:tcW w:w="8865" w:type="dxa"/>
            <w:tcBorders>
              <w:top w:val="single" w:sz="12" w:space="0" w:color="05AD4B"/>
            </w:tcBorders>
            <w:tcMar>
              <w:left w:w="0" w:type="dxa"/>
              <w:bottom w:w="0" w:type="dxa"/>
              <w:right w:w="0" w:type="dxa"/>
            </w:tcMar>
            <w:vAlign w:val="center"/>
          </w:tcPr>
          <w:p>
            <w:pPr>
              <w:pStyle w:val="TableContents"/>
              <w:bidi w:val="0"/>
              <w:spacing w:before="0" w:after="283"/>
              <w:ind w:left="0" w:right="0" w:firstLine="14"/>
              <w:jc w:val="left"/>
              <w:rPr/>
            </w:pPr>
            <w:r>
              <w:rPr/>
              <w:t> </w:t>
            </w:r>
          </w:p>
        </w:tc>
        <w:tc>
          <w:tcPr>
            <w:tcW w:w="956" w:type="dxa"/>
            <w:tcBorders>
              <w:top w:val="single" w:sz="12" w:space="0" w:color="05AD4B"/>
            </w:tcBorders>
            <w:tcMar>
              <w:left w:w="0" w:type="dxa"/>
              <w:bottom w:w="0" w:type="dxa"/>
              <w:right w:w="0" w:type="dxa"/>
            </w:tcMar>
            <w:vAlign w:val="center"/>
          </w:tcPr>
          <w:p>
            <w:pPr>
              <w:pStyle w:val="TableContents"/>
              <w:bidi w:val="0"/>
              <w:spacing w:before="0" w:after="283"/>
              <w:ind w:left="0" w:right="0" w:firstLine="14"/>
              <w:jc w:val="right"/>
              <w:rPr/>
            </w:pPr>
            <w:r>
              <w:rPr/>
              <w:t> </w:t>
            </w:r>
          </w:p>
        </w:tc>
      </w:tr>
      <w:tr>
        <w:trPr/>
        <w:tc>
          <w:tcPr>
            <w:tcW w:w="8865" w:type="dxa"/>
            <w:tcBorders/>
            <w:tcMar>
              <w:top w:w="0" w:type="dxa"/>
              <w:left w:w="0" w:type="dxa"/>
              <w:bottom w:w="0" w:type="dxa"/>
              <w:right w:w="0" w:type="dxa"/>
            </w:tcMar>
            <w:vAlign w:val="center"/>
          </w:tcPr>
          <w:p>
            <w:pPr>
              <w:pStyle w:val="TableContents"/>
              <w:bidi w:val="0"/>
              <w:spacing w:lineRule="auto" w:line="360" w:before="0" w:after="283"/>
              <w:ind w:left="0" w:right="0" w:firstLine="14"/>
              <w:jc w:val="left"/>
              <w:rPr>
                <w:rFonts w:ascii="Aptos;sans-serif" w:hAnsi="Aptos;sans-serif"/>
                <w:sz w:val="24"/>
              </w:rPr>
            </w:pPr>
            <w:r>
              <w:rPr>
                <w:rFonts w:ascii="Aptos;sans-serif" w:hAnsi="Aptos;sans-serif"/>
                <w:color w:val="373936"/>
                <w:sz w:val="24"/>
              </w:rPr>
              <w:t>1029 West 19</w:t>
            </w:r>
            <w:r>
              <w:rPr>
                <w:rFonts w:ascii="Aptos;sans-serif" w:hAnsi="Aptos;sans-serif"/>
                <w:color w:val="373936"/>
                <w:sz w:val="16"/>
              </w:rPr>
              <w:t>th</w:t>
            </w:r>
            <w:r>
              <w:rPr>
                <w:rFonts w:ascii="Aptos;sans-serif" w:hAnsi="Aptos;sans-serif"/>
                <w:color w:val="373936"/>
                <w:sz w:val="24"/>
              </w:rPr>
              <w:t xml:space="preserve"> Street; Chattanooga, TN 37408; USA | novonixgroup.com</w:t>
            </w:r>
          </w:p>
        </w:tc>
        <w:tc>
          <w:tcPr>
            <w:tcW w:w="9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23875" cy="447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23875" cy="4476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7587" w:type="dxa"/>
        <w:jc w:val="left"/>
        <w:tblInd w:w="0" w:type="dxa"/>
        <w:tblLayout w:type="fixed"/>
        <w:tblCellMar>
          <w:top w:w="28" w:type="dxa"/>
          <w:left w:w="28" w:type="dxa"/>
          <w:bottom w:w="28" w:type="dxa"/>
          <w:right w:w="28" w:type="dxa"/>
        </w:tblCellMar>
      </w:tblPr>
      <w:tblGrid>
        <w:gridCol w:w="4331"/>
        <w:gridCol w:w="3256"/>
      </w:tblGrid>
      <w:tr>
        <w:trPr/>
        <w:tc>
          <w:tcPr>
            <w:tcW w:w="433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433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86050" cy="3905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686050" cy="390525"/>
                          </a:xfrm>
                          <a:prstGeom prst="rect">
                            <a:avLst/>
                          </a:prstGeom>
                        </pic:spPr>
                      </pic:pic>
                    </a:graphicData>
                  </a:graphic>
                </wp:inline>
              </w:drawing>
            </w:r>
          </w:p>
        </w:tc>
        <w:tc>
          <w:tcPr>
            <w:tcW w:w="3256" w:type="dxa"/>
            <w:tcBorders/>
            <w:tcMar>
              <w:top w:w="0" w:type="dxa"/>
              <w:left w:w="0" w:type="dxa"/>
              <w:bottom w:w="0" w:type="dxa"/>
              <w:right w:w="0" w:type="dxa"/>
            </w:tcMar>
            <w:vAlign w:val="center"/>
          </w:tcPr>
          <w:p>
            <w:pPr>
              <w:pStyle w:val="TableContents"/>
              <w:bidi w:val="0"/>
              <w:jc w:val="right"/>
              <w:rPr>
                <w:rFonts w:ascii="Aptos;sans-serif" w:hAnsi="Aptos;sans-serif"/>
                <w:color w:val="00AD42"/>
                <w:sz w:val="28"/>
              </w:rPr>
            </w:pPr>
            <w:r>
              <w:rPr>
                <w:rFonts w:ascii="Aptos;sans-serif" w:hAnsi="Aptos;sans-serif"/>
                <w:color w:val="00AD42"/>
                <w:sz w:val="28"/>
              </w:rPr>
              <w:t>ASX ANNOUNCEMENT</w:t>
            </w:r>
          </w:p>
          <w:p>
            <w:pPr>
              <w:pStyle w:val="TableContents"/>
              <w:bidi w:val="0"/>
              <w:spacing w:before="0" w:after="283"/>
              <w:jc w:val="right"/>
              <w:rPr>
                <w:rFonts w:ascii="Aptos;sans-serif" w:hAnsi="Aptos;sans-serif"/>
                <w:color w:val="000000"/>
                <w:sz w:val="28"/>
              </w:rPr>
            </w:pPr>
            <w:r>
              <w:rPr>
                <w:rFonts w:ascii="Aptos;sans-serif" w:hAnsi="Aptos;sans-serif"/>
                <w:color w:val="000000"/>
                <w:sz w:val="28"/>
              </w:rPr>
              <w:t>(ASX: NVX)</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60" w:after="283"/>
        <w:jc w:val="left"/>
        <w:rPr>
          <w:rFonts w:ascii="Aptos;sans-serif" w:hAnsi="Aptos;sans-serif"/>
          <w:sz w:val="24"/>
        </w:rPr>
      </w:pPr>
      <w:r>
        <w:rPr>
          <w:rFonts w:ascii="Aptos;sans-serif" w:hAnsi="Aptos;sans-serif"/>
          <w:color w:val="000000"/>
          <w:sz w:val="24"/>
        </w:rPr>
        <w:t xml:space="preserve">others from commercializing such technologies and processes, and regulatory and economic developments in the United States, Australia, and other jurisdictions. These and other factors that could affect its business and results are included in its filings with the U.S. Securities and Exchange Commission (“SEC”), including the Company’s most recent annual report on Form 20-F. Copies of these filings may be obtained by visiting the Company’s Investor Relations website at </w:t>
      </w:r>
      <w:r>
        <w:rPr>
          <w:rFonts w:ascii="Aptos;sans-serif" w:hAnsi="Aptos;sans-serif"/>
          <w:sz w:val="24"/>
        </w:rPr>
        <w:t>www.novonixgroup.com</w:t>
      </w:r>
      <w:r>
        <w:rPr>
          <w:rFonts w:ascii="Aptos;sans-serif" w:hAnsi="Aptos;sans-serif"/>
          <w:color w:val="000000"/>
          <w:sz w:val="24"/>
        </w:rPr>
        <w:t xml:space="preserve"> or the SEC’s website at </w:t>
      </w:r>
      <w:r>
        <w:rPr>
          <w:rFonts w:ascii="Aptos;sans-serif" w:hAnsi="Aptos;sans-serif"/>
          <w:sz w:val="24"/>
        </w:rPr>
        <w:t>www.sec.gov.</w:t>
      </w:r>
    </w:p>
    <w:p>
      <w:pPr>
        <w:pStyle w:val="TextBody"/>
        <w:bidi w:val="0"/>
        <w:spacing w:before="240" w:after="283"/>
        <w:jc w:val="left"/>
        <w:rPr>
          <w:rFonts w:ascii="Aptos;sans-serif" w:hAnsi="Aptos;sans-serif"/>
          <w:color w:val="000000"/>
          <w:sz w:val="24"/>
        </w:rPr>
      </w:pPr>
      <w:r>
        <w:rPr>
          <w:rFonts w:ascii="Aptos;sans-serif" w:hAnsi="Aptos;sans-serif"/>
          <w:color w:val="000000"/>
          <w:sz w:val="24"/>
        </w:rPr>
        <w:t>Forward-looking statements are not guarantees of future performance or outcomes, and actual performance and outcomes may differ materially from those made in or suggested by the forward-looking statements contained in this communication. Accordingly, you should not place undue reliance on forward-looking statements. Any forward-looking statement in this communication is based only on information currently available to us and speaks only as of the date on which it is made. The Company undertakes no obligation to update any forward-looking statement, whether written or oral, that may be made from time to time, whether as a result of new information, future developments or otherwise, except as required by law.</w:t>
      </w:r>
    </w:p>
    <w:p>
      <w:pPr>
        <w:pStyle w:val="TextBody"/>
        <w:bidi w:val="0"/>
        <w:jc w:val="left"/>
        <w:rPr/>
      </w:pPr>
      <w:r>
        <w:rPr/>
        <w:t> </w:t>
      </w:r>
    </w:p>
    <w:tbl>
      <w:tblPr>
        <w:tblW w:w="9821" w:type="dxa"/>
        <w:jc w:val="left"/>
        <w:tblInd w:w="0" w:type="dxa"/>
        <w:tblLayout w:type="fixed"/>
        <w:tblCellMar>
          <w:top w:w="28" w:type="dxa"/>
          <w:left w:w="28" w:type="dxa"/>
          <w:bottom w:w="28" w:type="dxa"/>
          <w:right w:w="28" w:type="dxa"/>
        </w:tblCellMar>
      </w:tblPr>
      <w:tblGrid>
        <w:gridCol w:w="8865"/>
        <w:gridCol w:w="956"/>
      </w:tblGrid>
      <w:tr>
        <w:trPr/>
        <w:tc>
          <w:tcPr>
            <w:tcW w:w="886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ind w:left="0" w:right="0" w:firstLine="14"/>
              <w:jc w:val="left"/>
              <w:rPr>
                <w:sz w:val="4"/>
                <w:szCs w:val="4"/>
              </w:rPr>
            </w:pPr>
            <w:r>
              <w:rPr>
                <w:sz w:val="4"/>
                <w:szCs w:val="4"/>
              </w:rPr>
            </w:r>
          </w:p>
        </w:tc>
      </w:tr>
      <w:tr>
        <w:trPr/>
        <w:tc>
          <w:tcPr>
            <w:tcW w:w="8865" w:type="dxa"/>
            <w:tcBorders>
              <w:top w:val="single" w:sz="12" w:space="0" w:color="05AD4B"/>
            </w:tcBorders>
            <w:tcMar>
              <w:left w:w="0" w:type="dxa"/>
              <w:bottom w:w="0" w:type="dxa"/>
              <w:right w:w="0" w:type="dxa"/>
            </w:tcMar>
            <w:vAlign w:val="center"/>
          </w:tcPr>
          <w:p>
            <w:pPr>
              <w:pStyle w:val="TableContents"/>
              <w:bidi w:val="0"/>
              <w:spacing w:before="0" w:after="283"/>
              <w:ind w:left="0" w:right="0" w:firstLine="14"/>
              <w:jc w:val="left"/>
              <w:rPr/>
            </w:pPr>
            <w:r>
              <w:rPr/>
              <w:t> </w:t>
            </w:r>
          </w:p>
        </w:tc>
        <w:tc>
          <w:tcPr>
            <w:tcW w:w="956" w:type="dxa"/>
            <w:tcBorders>
              <w:top w:val="single" w:sz="12" w:space="0" w:color="05AD4B"/>
            </w:tcBorders>
            <w:tcMar>
              <w:left w:w="0" w:type="dxa"/>
              <w:bottom w:w="0" w:type="dxa"/>
              <w:right w:w="0" w:type="dxa"/>
            </w:tcMar>
            <w:vAlign w:val="center"/>
          </w:tcPr>
          <w:p>
            <w:pPr>
              <w:pStyle w:val="TableContents"/>
              <w:bidi w:val="0"/>
              <w:spacing w:before="0" w:after="283"/>
              <w:ind w:left="0" w:right="0" w:firstLine="14"/>
              <w:jc w:val="right"/>
              <w:rPr/>
            </w:pPr>
            <w:r>
              <w:rPr/>
              <w:t> </w:t>
            </w:r>
          </w:p>
        </w:tc>
      </w:tr>
      <w:tr>
        <w:trPr/>
        <w:tc>
          <w:tcPr>
            <w:tcW w:w="8865" w:type="dxa"/>
            <w:tcBorders/>
            <w:tcMar>
              <w:top w:w="0" w:type="dxa"/>
              <w:left w:w="0" w:type="dxa"/>
              <w:bottom w:w="0" w:type="dxa"/>
              <w:right w:w="0" w:type="dxa"/>
            </w:tcMar>
            <w:vAlign w:val="center"/>
          </w:tcPr>
          <w:p>
            <w:pPr>
              <w:pStyle w:val="TableContents"/>
              <w:bidi w:val="0"/>
              <w:spacing w:lineRule="auto" w:line="360" w:before="0" w:after="283"/>
              <w:ind w:left="0" w:right="0" w:firstLine="14"/>
              <w:jc w:val="left"/>
              <w:rPr>
                <w:rFonts w:ascii="Aptos;sans-serif" w:hAnsi="Aptos;sans-serif"/>
                <w:sz w:val="24"/>
              </w:rPr>
            </w:pPr>
            <w:r>
              <w:rPr>
                <w:rFonts w:ascii="Aptos;sans-serif" w:hAnsi="Aptos;sans-serif"/>
                <w:color w:val="373936"/>
                <w:sz w:val="24"/>
              </w:rPr>
              <w:t>1029 West 19</w:t>
            </w:r>
            <w:r>
              <w:rPr>
                <w:rFonts w:ascii="Aptos;sans-serif" w:hAnsi="Aptos;sans-serif"/>
                <w:color w:val="373936"/>
                <w:sz w:val="16"/>
              </w:rPr>
              <w:t>th</w:t>
            </w:r>
            <w:r>
              <w:rPr>
                <w:rFonts w:ascii="Aptos;sans-serif" w:hAnsi="Aptos;sans-serif"/>
                <w:color w:val="373936"/>
                <w:sz w:val="24"/>
              </w:rPr>
              <w:t xml:space="preserve"> Street; Chattanooga, TN 37408; USA | novonixgroup.com</w:t>
            </w:r>
          </w:p>
        </w:tc>
        <w:tc>
          <w:tcPr>
            <w:tcW w:w="9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23875" cy="447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23875" cy="4476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1.jpeg"/><Relationship Id="rId13" Type="http://schemas.openxmlformats.org/officeDocument/2006/relationships/image" Target="media/image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1993</Words>
  <Characters>12032</Characters>
  <CharactersWithSpaces>14030</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