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right"/>
        <w:rPr/>
      </w:pPr>
      <w:bookmarkStart w:id="0" w:name="nvx-6k-july-24-26_3y_sb.htm"/>
      <w:bookmarkStart w:id="1" w:name="ksnvx6kjuly2426_3y_sb"/>
      <w:bookmarkEnd w:id="0"/>
      <w:bookmarkEnd w:id="1"/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UNITED STATES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Washington, D.C. 20549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REPORT OF FOREIGN PRIVATE ISSUER PURSUANT TO RULE 13a-16 OR 15d-16 UNDER THE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SECURITIES EXCHANGE ACT OF 1934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For the month of July, 2026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264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1"/>
        <w:gridCol w:w="2296"/>
        <w:gridCol w:w="191"/>
      </w:tblGrid>
      <w:tr>
        <w:trPr/>
        <w:tc>
          <w:tcPr>
            <w:tcW w:w="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2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001-41208</w:t>
            </w:r>
          </w:p>
        </w:tc>
        <w:tc>
          <w:tcPr>
            <w:tcW w:w="1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16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  <w:tc>
          <w:tcPr>
            <w:tcW w:w="229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(Commission File Number)</w:t>
            </w:r>
          </w:p>
        </w:tc>
        <w:tc>
          <w:tcPr>
            <w:tcW w:w="19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36"/>
        </w:rPr>
      </w:pPr>
      <w:r>
        <w:rPr>
          <w:rFonts w:ascii="Times New Roman" w:hAnsi="Times New Roman"/>
          <w:b/>
          <w:color w:val="000000"/>
          <w:sz w:val="36"/>
        </w:rPr>
        <w:t>NOVONIX LIMITED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(Translation of registrant’s name into English)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Level 38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71 Eagle Street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Brisbane, QLD 4000 Australia</w:t>
      </w:r>
    </w:p>
    <w:p>
      <w:pPr>
        <w:pStyle w:val="TextBody"/>
        <w:bidi w:val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(Address of principal executive office)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Indicate by check mark whether the registrant files or will file annual reports under cover of Form 20</w:t>
        <w:noBreakHyphen/>
        <w:t>F or Form 40</w:t>
        <w:noBreakHyphen/>
        <w:t>F.</w:t>
      </w: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Form 20-F </w:t>
      </w:r>
      <w:r>
        <w:rPr>
          <w:rFonts w:ascii="Times New Roman" w:hAnsi="Times New Roman"/>
          <w:sz w:val="20"/>
        </w:rPr>
        <w:t>☒</w:t>
      </w:r>
      <w:r>
        <w:rPr>
          <w:rFonts w:ascii="Times New Roman" w:hAnsi="Times New Roman"/>
          <w:color w:val="000000"/>
          <w:sz w:val="20"/>
        </w:rPr>
        <w:t xml:space="preserve"> Form 40-F </w:t>
      </w:r>
      <w:r>
        <w:rPr>
          <w:rFonts w:ascii="Times New Roman" w:hAnsi="Times New Roman"/>
          <w:sz w:val="20"/>
        </w:rPr>
        <w:t>☐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Indicate by check mark if the registrant is submitting the Form 6-K in paper as permitted by Regulation S-T Rule 101(b)(1): </w:t>
      </w:r>
      <w:r>
        <w:rPr>
          <w:rFonts w:ascii="Times New Roman" w:hAnsi="Times New Roman"/>
          <w:sz w:val="20"/>
        </w:rPr>
        <w:t>☐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Indicate by check mark if the registrant is submitting the Form 6-K in paper as permitted by Regulation S-T Rule 101(b)(7): </w:t>
      </w:r>
      <w:r>
        <w:rPr>
          <w:rFonts w:ascii="Times New Roman" w:hAnsi="Times New Roman"/>
          <w:sz w:val="20"/>
        </w:rPr>
        <w:t>☐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EXHIBIT INDEX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77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41"/>
        <w:gridCol w:w="146"/>
        <w:gridCol w:w="6511"/>
      </w:tblGrid>
      <w:tr>
        <w:trPr/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Exhibit No.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1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u w:val="single"/>
              </w:rPr>
              <w:t>Description</w:t>
            </w:r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1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Exhibit 99.1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1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hyperlink w:anchor="nvx-ex99_1.htm">
              <w:r>
                <w:rPr>
                  <w:rStyle w:val="InternetLink"/>
                  <w:rFonts w:ascii="Times New Roman" w:hAnsi="Times New Roman"/>
                  <w:color w:val="0000FF"/>
                  <w:sz w:val="20"/>
                  <w:u w:val="single"/>
                </w:rPr>
                <w:t>ASX Announcement (Change of Director's Interest Notice) dated July 24, 2026</w:t>
              </w:r>
            </w:hyperlink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1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1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1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SIGNATURES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pStyle w:val="TextBody"/>
        <w:bidi w:val="0"/>
        <w:jc w:val="left"/>
        <w:rPr/>
      </w:pPr>
      <w:r>
        <w:rPr/>
        <w:t> </w:t>
      </w:r>
    </w:p>
    <w:tbl>
      <w:tblPr>
        <w:tblW w:w="32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"/>
        <w:gridCol w:w="476"/>
        <w:gridCol w:w="2401"/>
      </w:tblGrid>
      <w:tr>
        <w:trPr/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9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NOVONIX LIMITED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By: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  <w:u w:val="single"/>
              </w:rPr>
            </w:pPr>
            <w:r>
              <w:rPr>
                <w:rFonts w:ascii="Times New Roman" w:hAnsi="Times New Roman"/>
                <w:color w:val="000000"/>
                <w:sz w:val="20"/>
                <w:u w:val="single"/>
              </w:rPr>
              <w:t>/s/ Mike O'Kronley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Mike O'Kronley</w:t>
            </w:r>
          </w:p>
        </w:tc>
      </w:tr>
      <w:tr>
        <w:trPr/>
        <w:tc>
          <w:tcPr>
            <w:tcW w:w="42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7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30"/>
              <w:jc w:val="left"/>
              <w:rPr/>
            </w:pPr>
            <w:r>
              <w:rPr/>
              <w:t> </w:t>
            </w:r>
          </w:p>
        </w:tc>
        <w:tc>
          <w:tcPr>
            <w:tcW w:w="240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30"/>
              <w:jc w:val="left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Date: July 24, 2026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bookmarkStart w:id="2" w:name="nvx-ex99_1.htm"/>
      <w:bookmarkStart w:id="3" w:name="ksnvxex99_1"/>
      <w:bookmarkEnd w:id="2"/>
      <w:bookmarkEnd w:id="3"/>
      <w:r>
        <w:rPr>
          <w:rFonts w:ascii="Times New Roman" w:hAnsi="Times New Roman"/>
          <w:b/>
          <w:color w:val="000000"/>
          <w:sz w:val="22"/>
        </w:rPr>
        <w:t>Exhibit 99.1</w:t>
      </w:r>
      <w:r>
        <w:br w:type="page"/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Rule 3.19A.2</w:t>
      </w:r>
    </w:p>
    <w:p>
      <w:pPr>
        <w:pStyle w:val="Heading1"/>
        <w:bidi w:val="0"/>
        <w:jc w:val="center"/>
        <w:rPr>
          <w:rFonts w:ascii="Times New Roman" w:hAnsi="Times New Roman"/>
          <w:color w:val="000000"/>
          <w:sz w:val="48"/>
        </w:rPr>
      </w:pPr>
      <w:r>
        <w:rPr>
          <w:rFonts w:ascii="Times New Roman" w:hAnsi="Times New Roman"/>
          <w:color w:val="000000"/>
          <w:sz w:val="48"/>
        </w:rPr>
        <w:t>Appendix 3Y</w:t>
      </w:r>
    </w:p>
    <w:p>
      <w:pPr>
        <w:pStyle w:val="Heading2"/>
        <w:bidi w:val="0"/>
        <w:jc w:val="center"/>
        <w:rPr/>
      </w:pPr>
      <w:r>
        <w:rPr/>
        <w:t> </w:t>
      </w:r>
    </w:p>
    <w:p>
      <w:pPr>
        <w:pStyle w:val="Heading2"/>
        <w:bidi w:val="0"/>
        <w:jc w:val="center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>Change of Director’s Interest Notice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i/>
          <w:color w:val="000000"/>
          <w:sz w:val="18"/>
        </w:rPr>
      </w:pPr>
      <w:r>
        <w:rPr>
          <w:rFonts w:ascii="Times New Roman" w:hAnsi="Times New Roman"/>
          <w:i/>
          <w:color w:val="000000"/>
          <w:sz w:val="18"/>
        </w:rPr>
        <w:t>Information or documents not available now must be given to ASX as soon as available. Information and documents given to ASX become ASX’s property and may be made public.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Introduced 30/09/01 Amended 01/01/11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43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32"/>
      </w:tblGrid>
      <w:tr>
        <w:trPr/>
        <w:tc>
          <w:tcPr>
            <w:tcW w:w="4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Name of entity </w:t>
            </w:r>
            <w:r>
              <w:rPr>
                <w:rFonts w:ascii="Times New Roman" w:hAnsi="Times New Roman"/>
                <w:color w:val="000000"/>
                <w:sz w:val="22"/>
              </w:rPr>
              <w:t>NOVONIX LIMITED</w:t>
            </w:r>
          </w:p>
        </w:tc>
      </w:tr>
      <w:tr>
        <w:trPr/>
        <w:tc>
          <w:tcPr>
            <w:tcW w:w="43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ABN </w:t>
            </w:r>
            <w:r>
              <w:rPr>
                <w:rFonts w:ascii="Times New Roman" w:hAnsi="Times New Roman"/>
                <w:color w:val="000000"/>
                <w:sz w:val="22"/>
              </w:rPr>
              <w:t>54 157 690 830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We (the entity) give ASX the following information under listing rule 3.19A.2 and as agent for the director for the purposes of section 205G of the Corporations Act. 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34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1831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Name of Director</w:t>
            </w:r>
          </w:p>
        </w:tc>
        <w:tc>
          <w:tcPr>
            <w:tcW w:w="18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SHARAN BURROW</w:t>
            </w:r>
          </w:p>
        </w:tc>
      </w:tr>
      <w:tr>
        <w:trPr/>
        <w:tc>
          <w:tcPr>
            <w:tcW w:w="1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last notice</w:t>
            </w:r>
          </w:p>
        </w:tc>
        <w:tc>
          <w:tcPr>
            <w:tcW w:w="183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 May 2026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Part 1 - Change of director’s relevant interests in securities</w:t>
      </w:r>
    </w:p>
    <w:p>
      <w:pPr>
        <w:pStyle w:val="TextBody"/>
        <w:bidi w:val="0"/>
        <w:jc w:val="left"/>
        <w:rPr>
          <w:rFonts w:ascii="Times New Roman" w:hAnsi="Times New Roman"/>
          <w:i/>
          <w:color w:val="000000"/>
          <w:sz w:val="16"/>
        </w:rPr>
      </w:pPr>
      <w:r>
        <w:rPr>
          <w:rFonts w:ascii="Times New Roman" w:hAnsi="Times New Roman"/>
          <w:i/>
          <w:color w:val="000000"/>
          <w:sz w:val="16"/>
        </w:rPr>
        <w:t>In the case of a trust, this includes interests in the trust made available by the responsible entity of the trust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(i) of the definition of “notifiable interest of a director” should be disclosed in this part.</w:t>
      </w:r>
    </w:p>
    <w:tbl>
      <w:tblPr>
        <w:tblW w:w="70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46"/>
        <w:gridCol w:w="2476"/>
      </w:tblGrid>
      <w:tr>
        <w:trPr/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Direct or indirect interest</w:t>
            </w:r>
          </w:p>
        </w:tc>
        <w:tc>
          <w:tcPr>
            <w:tcW w:w="24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DIRECT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Nature of indirect interest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(including registered holder)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Provide details of the circumstances giving rise to the relevant interest.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47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Date of change</w:t>
            </w:r>
          </w:p>
        </w:tc>
        <w:tc>
          <w:tcPr>
            <w:tcW w:w="247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22 July 2026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prior to change</w:t>
            </w:r>
          </w:p>
        </w:tc>
        <w:tc>
          <w:tcPr>
            <w:tcW w:w="247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215,739 Ordinary shares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Class</w:t>
            </w:r>
          </w:p>
        </w:tc>
        <w:tc>
          <w:tcPr>
            <w:tcW w:w="247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Ordinary shares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acquired</w:t>
            </w:r>
          </w:p>
        </w:tc>
        <w:tc>
          <w:tcPr>
            <w:tcW w:w="247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31,250 ordinary shares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Number disposed</w:t>
            </w:r>
          </w:p>
        </w:tc>
        <w:tc>
          <w:tcPr>
            <w:tcW w:w="247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  <w:p>
            <w:pPr>
              <w:pStyle w:val="TableContents"/>
              <w:bidi w:val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45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If consideration is non-cash, provide details and estimated valuation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476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$5,000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554"/>
        <w:gridCol w:w="3651"/>
      </w:tblGrid>
      <w:tr>
        <w:trPr/>
        <w:tc>
          <w:tcPr>
            <w:tcW w:w="65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No. of securities held after change</w:t>
            </w:r>
          </w:p>
        </w:tc>
        <w:tc>
          <w:tcPr>
            <w:tcW w:w="36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246,989 Ordinary shares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195,938 share rights</w:t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change</w:t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Example: on-market trade, off-market trade, exercise of options, issue of securities under dividend reinvestment plan, participation in buy-back</w:t>
            </w:r>
          </w:p>
        </w:tc>
        <w:tc>
          <w:tcPr>
            <w:tcW w:w="3651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Issue of shares under the Share Purchase Plan.</w:t>
            </w:r>
          </w:p>
        </w:tc>
      </w:tr>
    </w:tbl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Part 2 – Change of director’s interests in contracts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14"/>
        </w:rPr>
      </w:pPr>
      <w:r>
        <w:rPr>
          <w:rFonts w:ascii="Times New Roman" w:hAnsi="Times New Roman"/>
          <w:color w:val="000000"/>
          <w:sz w:val="14"/>
        </w:rPr>
        <w:t>Note: In the case of a company, interests which come within paragraph (ii) of the definition of “notifiable interest of a director” should be disclosed in this part.</w:t>
      </w:r>
    </w:p>
    <w:tbl>
      <w:tblPr>
        <w:tblW w:w="73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46"/>
        <w:gridCol w:w="737"/>
      </w:tblGrid>
      <w:tr>
        <w:trPr/>
        <w:tc>
          <w:tcPr>
            <w:tcW w:w="6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Detail of contract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196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N/A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Nature of interest</w:t>
            </w:r>
          </w:p>
          <w:p>
            <w:pPr>
              <w:pStyle w:val="TableContents"/>
              <w:bidi w:val="0"/>
              <w:jc w:val="both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Name of registered holder</w:t>
            </w:r>
          </w:p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(if issued securities)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Date of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No. and class of securities to which interest related prior to change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>Note: Details are only required for a contract in relation to which the interest has changed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acquired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disposed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Value/Consideration</w:t>
            </w:r>
          </w:p>
          <w:p>
            <w:pPr>
              <w:pStyle w:val="TableContents"/>
              <w:bidi w:val="0"/>
              <w:jc w:val="left"/>
              <w:rPr>
                <w:rFonts w:ascii="Times New Roman" w:hAnsi="Times New Roman"/>
                <w:color w:val="000000"/>
                <w:sz w:val="14"/>
              </w:rPr>
            </w:pPr>
            <w:r>
              <w:rPr>
                <w:rFonts w:ascii="Times New Roman" w:hAnsi="Times New Roman"/>
                <w:color w:val="000000"/>
                <w:sz w:val="14"/>
              </w:rPr>
              <w:t xml:space="preserve">Note: If consideration is non-cash, provide details and an estimated valuation </w:t>
            </w:r>
          </w:p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6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Interest after change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18"/>
        </w:rPr>
        <w:t>Appendix 3Y Page 2</w:t>
      </w:r>
      <w:r>
        <w:rPr>
          <w:rFonts w:ascii="Times New Roman" w:hAnsi="Times New Roman"/>
          <w:color w:val="000000"/>
          <w:sz w:val="20"/>
        </w:rPr>
        <w:t xml:space="preserve"> </w:t>
      </w:r>
      <w:r>
        <w:rPr>
          <w:rFonts w:ascii="Times New Roman" w:hAnsi="Times New Roman"/>
          <w:color w:val="000000"/>
          <w:sz w:val="18"/>
        </w:rPr>
        <w:t>01/01/2011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Exhibit 99.1</w:t>
      </w:r>
    </w:p>
    <w:p>
      <w:pPr>
        <w:pStyle w:val="TextBody"/>
        <w:bidi w:val="0"/>
        <w:jc w:val="right"/>
        <w:rPr/>
      </w:pPr>
      <w:r>
        <w:rPr/>
        <w:t> 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Appendix 3Y</w:t>
      </w:r>
    </w:p>
    <w:p>
      <w:pPr>
        <w:pStyle w:val="TextBody"/>
        <w:bidi w:val="0"/>
        <w:jc w:val="right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Change of Director’s Interest Notice</w:t>
      </w:r>
    </w:p>
    <w:p>
      <w:pPr>
        <w:pStyle w:val="TextBody"/>
        <w:pBdr>
          <w:bottom w:val="single" w:sz="12" w:space="1" w:color="000000"/>
        </w:pBdr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 xml:space="preserve">Part 3 – </w:t>
      </w:r>
      <w:r>
        <w:rPr>
          <w:rFonts w:ascii="Times New Roman" w:hAnsi="Times New Roman"/>
          <w:color w:val="000000"/>
          <w:sz w:val="24"/>
        </w:rPr>
        <w:t>+</w:t>
      </w:r>
      <w:r>
        <w:rPr>
          <w:rFonts w:ascii="Times New Roman" w:hAnsi="Times New Roman"/>
          <w:b/>
          <w:color w:val="000000"/>
          <w:sz w:val="24"/>
        </w:rPr>
        <w:t>Closed period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3"/>
        <w:gridCol w:w="1042"/>
      </w:tblGrid>
      <w:tr>
        <w:trPr/>
        <w:tc>
          <w:tcPr>
            <w:tcW w:w="91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 xml:space="preserve">Were the interests in the securities or contracts detailed above traded during a </w:t>
            </w:r>
            <w:r>
              <w:rPr>
                <w:rFonts w:ascii="Times New Roman" w:hAnsi="Times New Roman"/>
                <w:color w:val="000000"/>
                <w:sz w:val="22"/>
              </w:rPr>
              <w:t>+</w:t>
            </w:r>
            <w:r>
              <w:rPr>
                <w:rFonts w:ascii="Times New Roman" w:hAnsi="Times New Roman"/>
                <w:b/>
                <w:color w:val="000000"/>
                <w:sz w:val="22"/>
              </w:rPr>
              <w:t>closed period where prior written clearance was required?</w:t>
            </w:r>
          </w:p>
        </w:tc>
        <w:tc>
          <w:tcPr>
            <w:tcW w:w="10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31"/>
              <w:jc w:val="both"/>
              <w:rPr>
                <w:rFonts w:ascii="Times New Roman" w:hAnsi="Times New Roman"/>
                <w:color w:val="000000"/>
                <w:sz w:val="22"/>
              </w:rPr>
            </w:pPr>
            <w:r>
              <w:rPr>
                <w:rFonts w:ascii="Times New Roman" w:hAnsi="Times New Roman"/>
                <w:color w:val="000000"/>
                <w:sz w:val="22"/>
              </w:rPr>
              <w:t>No.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so, was prior written clearance provided to allow the trade to proceed during this period?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>
                <w:rFonts w:ascii="Times New Roman" w:hAnsi="Times New Roman"/>
                <w:b/>
                <w:color w:val="000000"/>
                <w:sz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</w:rPr>
              <w:t>If prior written clearance was provided, on what date was this provided?</w:t>
            </w:r>
          </w:p>
        </w:tc>
        <w:tc>
          <w:tcPr>
            <w:tcW w:w="104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right w:w="10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ind w:left="0" w:right="0" w:firstLine="851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pBdr>
          <w:top w:val="single" w:sz="6" w:space="1" w:color="000000"/>
        </w:pBdr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+ See chapter 19 for defined terms.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both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01/01/2011 Appendix 3Y Page 3</w:t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3560</Characters>
  <CharactersWithSpaces>4225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