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6k-july-2026-03-07-a.htm"/>
      <w:bookmarkStart w:id="1" w:name="ksnvx6kjuly20260307a"/>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July,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393" w:type="dxa"/>
        <w:jc w:val="left"/>
        <w:tblInd w:w="0" w:type="dxa"/>
        <w:tblLayout w:type="fixed"/>
        <w:tblCellMar>
          <w:top w:w="28" w:type="dxa"/>
          <w:left w:w="28" w:type="dxa"/>
          <w:bottom w:w="28" w:type="dxa"/>
          <w:right w:w="28" w:type="dxa"/>
        </w:tblCellMar>
      </w:tblPr>
      <w:tblGrid>
        <w:gridCol w:w="1141"/>
        <w:gridCol w:w="146"/>
        <w:gridCol w:w="610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6"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Appendix 2A (Application for quotation of securities) dated July 2,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92" w:type="dxa"/>
        <w:jc w:val="left"/>
        <w:tblInd w:w="0" w:type="dxa"/>
        <w:tblLayout w:type="fixed"/>
        <w:tblCellMar>
          <w:top w:w="28" w:type="dxa"/>
          <w:left w:w="28" w:type="dxa"/>
          <w:bottom w:w="28" w:type="dxa"/>
          <w:right w:w="28" w:type="dxa"/>
        </w:tblCellMar>
      </w:tblPr>
      <w:tblGrid>
        <w:gridCol w:w="491"/>
        <w:gridCol w:w="2401"/>
      </w:tblGrid>
      <w:tr>
        <w:trPr/>
        <w:tc>
          <w:tcPr>
            <w:tcW w:w="49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89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July 03,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1"/>
        </w:rPr>
      </w:pPr>
      <w:r>
        <w:rPr>
          <w:rFonts w:ascii="Times New Roman" w:hAnsi="Times New Roman"/>
          <w:color w:val="000000"/>
          <w:sz w:val="21"/>
        </w:rPr>
        <w:t>EXHIBIT 99.1</w:t>
      </w:r>
    </w:p>
    <w:p>
      <w:pPr>
        <w:pStyle w:val="TextBody"/>
        <w:bidi w:val="0"/>
        <w:jc w:val="left"/>
        <w:rPr>
          <w:rFonts w:ascii="Arial" w:hAnsi="Arial"/>
          <w:color w:val="000000"/>
          <w:sz w:val="18"/>
        </w:rPr>
      </w:pPr>
      <w:r>
        <w:rPr>
          <w:rFonts w:ascii="Arial" w:hAnsi="Arial"/>
          <w:color w:val="000000"/>
          <w:sz w:val="18"/>
        </w:rPr>
        <w:t>Announcement Summary</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Entity name</w:t>
      </w:r>
    </w:p>
    <w:p>
      <w:pPr>
        <w:pStyle w:val="TextBody"/>
        <w:bidi w:val="0"/>
        <w:spacing w:before="104" w:after="283"/>
        <w:jc w:val="left"/>
        <w:rPr>
          <w:rFonts w:ascii="Arial" w:hAnsi="Arial"/>
          <w:color w:val="000000"/>
          <w:sz w:val="18"/>
        </w:rPr>
      </w:pPr>
      <w:r>
        <w:rPr>
          <w:rFonts w:ascii="Arial" w:hAnsi="Arial"/>
          <w:color w:val="000000"/>
          <w:sz w:val="18"/>
        </w:rPr>
        <w:t>NOVONIX LIMITED</w:t>
      </w:r>
    </w:p>
    <w:p>
      <w:pPr>
        <w:pStyle w:val="TextBody"/>
        <w:bidi w:val="0"/>
        <w:spacing w:before="153" w:after="283"/>
        <w:jc w:val="left"/>
        <w:rPr>
          <w:rFonts w:ascii="Arial" w:hAnsi="Arial"/>
          <w:b/>
          <w:color w:val="000000"/>
          <w:sz w:val="18"/>
        </w:rPr>
      </w:pPr>
      <w:r>
        <w:rPr>
          <w:rFonts w:ascii="Arial" w:hAnsi="Arial"/>
          <w:b/>
          <w:color w:val="000000"/>
          <w:sz w:val="18"/>
        </w:rPr>
        <w:t>Announcement Type</w:t>
      </w:r>
    </w:p>
    <w:p>
      <w:pPr>
        <w:pStyle w:val="TextBody"/>
        <w:bidi w:val="0"/>
        <w:spacing w:before="106" w:after="283"/>
        <w:jc w:val="left"/>
        <w:rPr>
          <w:rFonts w:ascii="Arial" w:hAnsi="Arial"/>
          <w:color w:val="000000"/>
          <w:sz w:val="18"/>
        </w:rPr>
      </w:pPr>
      <w:r>
        <w:rPr>
          <w:rFonts w:ascii="Arial" w:hAnsi="Arial"/>
          <w:color w:val="000000"/>
          <w:sz w:val="18"/>
        </w:rPr>
        <w:t>New announcement</w:t>
      </w:r>
    </w:p>
    <w:p>
      <w:pPr>
        <w:pStyle w:val="TextBody"/>
        <w:bidi w:val="0"/>
        <w:spacing w:before="153" w:after="283"/>
        <w:jc w:val="left"/>
        <w:rPr>
          <w:rFonts w:ascii="Arial" w:hAnsi="Arial"/>
          <w:b/>
          <w:color w:val="000000"/>
          <w:sz w:val="18"/>
        </w:rPr>
      </w:pPr>
      <w:r>
        <w:rPr>
          <w:rFonts w:ascii="Arial" w:hAnsi="Arial"/>
          <w:b/>
          <w:color w:val="000000"/>
          <w:sz w:val="18"/>
        </w:rPr>
        <w:t>Date of this announcement</w:t>
      </w:r>
    </w:p>
    <w:p>
      <w:pPr>
        <w:pStyle w:val="TextBody"/>
        <w:bidi w:val="0"/>
        <w:spacing w:before="84" w:after="283"/>
        <w:jc w:val="left"/>
        <w:rPr>
          <w:rFonts w:ascii="Arial" w:hAnsi="Arial"/>
          <w:color w:val="000000"/>
          <w:sz w:val="18"/>
        </w:rPr>
      </w:pPr>
      <w:r>
        <w:rPr>
          <w:rFonts w:ascii="Arial" w:hAnsi="Arial"/>
          <w:color w:val="000000"/>
          <w:sz w:val="18"/>
        </w:rPr>
        <w:t>Thursday July 02, 2026</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The +securities to be quoted are:</w:t>
      </w:r>
    </w:p>
    <w:p>
      <w:pPr>
        <w:pStyle w:val="TextBody"/>
        <w:bidi w:val="0"/>
        <w:jc w:val="left"/>
        <w:rPr>
          <w:rFonts w:ascii="Arial" w:hAnsi="Arial"/>
          <w:color w:val="000000"/>
          <w:sz w:val="18"/>
        </w:rPr>
      </w:pPr>
      <w:r>
        <w:rPr>
          <w:rFonts w:ascii="Arial" w:hAnsi="Arial"/>
          <w:color w:val="000000"/>
          <w:sz w:val="18"/>
        </w:rPr>
        <w:t>+Securities issued, transferred or re-classified as a result of options being exercised or other +convertible securities being converted</w:t>
      </w:r>
    </w:p>
    <w:p>
      <w:pPr>
        <w:pStyle w:val="TextBody"/>
        <w:bidi w:val="0"/>
        <w:spacing w:before="46" w:after="283"/>
        <w:jc w:val="left"/>
        <w:rPr>
          <w:rFonts w:ascii="Arial" w:hAnsi="Arial"/>
          <w:b/>
          <w:color w:val="000000"/>
          <w:sz w:val="18"/>
        </w:rPr>
      </w:pPr>
      <w:r>
        <w:rPr>
          <w:rFonts w:ascii="Arial" w:hAnsi="Arial"/>
          <w:b/>
          <w:color w:val="000000"/>
          <w:sz w:val="18"/>
        </w:rPr>
        <w:t>Total number of +securities to be quoted</w:t>
      </w:r>
    </w:p>
    <w:p>
      <w:pPr>
        <w:pStyle w:val="TextBody"/>
        <w:bidi w:val="0"/>
        <w:jc w:val="left"/>
        <w:rPr/>
      </w:pPr>
      <w:r>
        <w:rPr/>
        <w:t> </w:t>
      </w:r>
    </w:p>
    <w:tbl>
      <w:tblPr>
        <w:tblW w:w="6121" w:type="dxa"/>
        <w:jc w:val="left"/>
        <w:tblInd w:w="0" w:type="dxa"/>
        <w:tblLayout w:type="fixed"/>
        <w:tblCellMar>
          <w:top w:w="28" w:type="dxa"/>
          <w:left w:w="28" w:type="dxa"/>
          <w:bottom w:w="28" w:type="dxa"/>
          <w:right w:w="28" w:type="dxa"/>
        </w:tblCellMar>
      </w:tblPr>
      <w:tblGrid>
        <w:gridCol w:w="161"/>
        <w:gridCol w:w="1381"/>
        <w:gridCol w:w="2146"/>
        <w:gridCol w:w="146"/>
        <w:gridCol w:w="1076"/>
        <w:gridCol w:w="1211"/>
      </w:tblGrid>
      <w:tr>
        <w:trPr/>
        <w:tc>
          <w:tcPr>
            <w:tcW w:w="1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pPr>
            <w:r>
              <w:rPr/>
              <w:t> </w:t>
            </w:r>
          </w:p>
        </w:tc>
        <w:tc>
          <w:tcPr>
            <w:tcW w:w="13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3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ASX +security</w:t>
            </w:r>
            <w:r>
              <w:rPr>
                <w:rFonts w:ascii="Times New Roman" w:hAnsi="Times New Roman"/>
                <w:color w:val="000000"/>
                <w:sz w:val="18"/>
              </w:rPr>
              <w:t xml:space="preserve">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Number of +securities to</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code</w:t>
            </w:r>
          </w:p>
        </w:tc>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Security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rFonts w:ascii="Arial" w:hAnsi="Arial"/>
                <w:b/>
                <w:color w:val="000000"/>
                <w:sz w:val="18"/>
              </w:rPr>
            </w:pPr>
            <w:r>
              <w:rPr>
                <w:rFonts w:ascii="Arial" w:hAnsi="Arial"/>
                <w:b/>
                <w:color w:val="000000"/>
                <w:sz w:val="18"/>
              </w:rPr>
              <w:t>be quoted</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rFonts w:ascii="Arial" w:hAnsi="Arial"/>
                <w:b/>
                <w:color w:val="000000"/>
                <w:sz w:val="18"/>
              </w:rPr>
            </w:pPr>
            <w:r>
              <w:rPr>
                <w:rFonts w:ascii="Arial" w:hAnsi="Arial"/>
                <w:b/>
                <w:color w:val="000000"/>
                <w:sz w:val="18"/>
              </w:rPr>
              <w:t>Issue date</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pPr>
            <w:r>
              <w:rPr/>
              <w:t> </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w:t>
            </w:r>
          </w:p>
        </w:tc>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ORDINARY FULLY PAID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rFonts w:ascii="Arial" w:hAnsi="Arial"/>
                <w:color w:val="000000"/>
                <w:sz w:val="18"/>
              </w:rPr>
            </w:pPr>
            <w:r>
              <w:rPr>
                <w:rFonts w:ascii="Arial" w:hAnsi="Arial"/>
                <w:color w:val="000000"/>
                <w:sz w:val="18"/>
              </w:rPr>
              <w:t>34,824</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rFonts w:ascii="Arial" w:hAnsi="Arial"/>
                <w:color w:val="000000"/>
                <w:sz w:val="18"/>
              </w:rPr>
            </w:pPr>
            <w:r>
              <w:rPr>
                <w:rFonts w:ascii="Arial" w:hAnsi="Arial"/>
                <w:color w:val="000000"/>
                <w:sz w:val="18"/>
              </w:rPr>
              <w:t>03/07/2026</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pPr>
            <w:r>
              <w:rPr/>
              <w:t> </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pPr>
            <w:r>
              <w:rPr/>
              <w:t> </w:t>
            </w:r>
          </w:p>
        </w:tc>
      </w:tr>
      <w:tr>
        <w:trPr/>
        <w:tc>
          <w:tcPr>
            <w:tcW w:w="1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8" w:space="0" w:color="000000"/>
            </w:tcBorders>
            <w:tcMar>
              <w:top w:w="0" w:type="dxa"/>
              <w:left w:w="0" w:type="dxa"/>
              <w:right w:w="0" w:type="dxa"/>
            </w:tcMar>
            <w:vAlign w:val="center"/>
          </w:tcPr>
          <w:p>
            <w:pPr>
              <w:pStyle w:val="TableContents"/>
              <w:bidi w:val="0"/>
              <w:spacing w:before="0" w:after="283"/>
              <w:ind w:left="0" w:right="0" w:firstLine="130"/>
              <w:jc w:val="right"/>
              <w:rPr/>
            </w:pPr>
            <w:r>
              <w:rPr/>
              <w:t> </w:t>
            </w:r>
          </w:p>
        </w:tc>
        <w:tc>
          <w:tcPr>
            <w:tcW w:w="1211"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30"/>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Refer to next page for full details of the announcement</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7"/>
              </w:rPr>
            </w:pPr>
            <w:r>
              <w:rPr>
                <w:rFonts w:ascii="Arial" w:hAnsi="Arial"/>
                <w:color w:val="000000"/>
                <w:sz w:val="17"/>
              </w:rPr>
              <w:t>1</w:t>
            </w:r>
            <w:r>
              <w:rPr>
                <w:rFonts w:ascii="Times New Roman" w:hAnsi="Times New Roman"/>
                <w:color w:val="000000"/>
                <w:sz w:val="17"/>
              </w:rPr>
              <w:t> </w:t>
            </w:r>
            <w:r>
              <w:rPr>
                <w:rFonts w:ascii="Arial" w:hAnsi="Arial"/>
                <w:color w:val="000000"/>
                <w:sz w:val="17"/>
              </w:rPr>
              <w:t>/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1 - Entity and announcement details</w:t>
      </w:r>
    </w:p>
    <w:p>
      <w:pPr>
        <w:pStyle w:val="TextBody"/>
        <w:pBdr>
          <w:bottom w:val="single" w:sz="8" w:space="1" w:color="0C3A6C"/>
        </w:pBdr>
        <w:bidi w:val="0"/>
        <w:spacing w:before="4"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1.1 Name of entity</w:t>
      </w:r>
    </w:p>
    <w:p>
      <w:pPr>
        <w:pStyle w:val="TextBody"/>
        <w:bidi w:val="0"/>
        <w:spacing w:before="105" w:after="283"/>
        <w:jc w:val="left"/>
        <w:rPr>
          <w:rFonts w:ascii="Arial" w:hAnsi="Arial"/>
          <w:color w:val="000000"/>
          <w:sz w:val="18"/>
        </w:rPr>
      </w:pPr>
      <w:r>
        <w:rPr>
          <w:rFonts w:ascii="Arial" w:hAnsi="Arial"/>
          <w:color w:val="000000"/>
          <w:sz w:val="18"/>
        </w:rPr>
        <w:t>NOVONIX LIMITED</w:t>
      </w:r>
    </w:p>
    <w:p>
      <w:pPr>
        <w:pStyle w:val="TextBody"/>
        <w:bidi w:val="0"/>
        <w:spacing w:before="150" w:after="283"/>
        <w:jc w:val="left"/>
        <w:rPr>
          <w:rFonts w:ascii="Arial" w:hAnsi="Arial"/>
          <w:color w:val="000000"/>
          <w:sz w:val="18"/>
        </w:rPr>
      </w:pPr>
      <w:r>
        <w:rPr>
          <w:rFonts w:ascii="Arial" w:hAnsi="Arial"/>
          <w:color w:val="000000"/>
          <w:sz w:val="18"/>
        </w:rPr>
        <w:t>We (the entity named above) apply for +quotation of the following +securities and agree to the matters set out in Appendix 2A of the ASX Listing Rules.</w:t>
      </w:r>
    </w:p>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161"/>
        <w:gridCol w:w="2476"/>
        <w:gridCol w:w="1906"/>
      </w:tblGrid>
      <w:tr>
        <w:trPr/>
        <w:tc>
          <w:tcPr>
            <w:tcW w:w="1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1.2 Registered number type</w:t>
            </w:r>
          </w:p>
        </w:tc>
        <w:tc>
          <w:tcPr>
            <w:tcW w:w="19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Registration number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ABN</w:t>
            </w:r>
          </w:p>
        </w:tc>
        <w:tc>
          <w:tcPr>
            <w:tcW w:w="19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54157690830</w:t>
            </w:r>
          </w:p>
        </w:tc>
      </w:tr>
    </w:tbl>
    <w:p>
      <w:pPr>
        <w:pStyle w:val="TextBody"/>
        <w:bidi w:val="0"/>
        <w:jc w:val="left"/>
        <w:rPr/>
      </w:pPr>
      <w:r>
        <w:rPr/>
        <w:t> </w:t>
      </w:r>
    </w:p>
    <w:p>
      <w:pPr>
        <w:pStyle w:val="TextBody"/>
        <w:bidi w:val="0"/>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1.3 ASX issuer code</w:t>
      </w:r>
    </w:p>
    <w:p>
      <w:pPr>
        <w:pStyle w:val="TextBody"/>
        <w:bidi w:val="0"/>
        <w:spacing w:before="105" w:after="283"/>
        <w:jc w:val="left"/>
        <w:rPr>
          <w:rFonts w:ascii="Arial" w:hAnsi="Arial"/>
          <w:color w:val="000000"/>
          <w:sz w:val="18"/>
        </w:rPr>
      </w:pPr>
      <w:r>
        <w:rPr>
          <w:rFonts w:ascii="Arial" w:hAnsi="Arial"/>
          <w:color w:val="000000"/>
          <w:sz w:val="18"/>
        </w:rPr>
        <w:t>NVX</w:t>
      </w:r>
    </w:p>
    <w:p>
      <w:pPr>
        <w:pStyle w:val="TextBody"/>
        <w:bidi w:val="0"/>
        <w:spacing w:before="1" w:after="283"/>
        <w:jc w:val="left"/>
        <w:rPr/>
      </w:pPr>
      <w:r>
        <w:rPr/>
        <w:t> </w:t>
      </w:r>
    </w:p>
    <w:p>
      <w:pPr>
        <w:pStyle w:val="TextBody"/>
        <w:bidi w:val="0"/>
        <w:jc w:val="left"/>
        <w:rPr>
          <w:rFonts w:ascii="Arial" w:hAnsi="Arial"/>
          <w:b/>
          <w:color w:val="000000"/>
          <w:sz w:val="18"/>
        </w:rPr>
      </w:pPr>
      <w:r>
        <w:rPr>
          <w:rFonts w:ascii="Arial" w:hAnsi="Arial"/>
          <w:b/>
          <w:color w:val="000000"/>
          <w:sz w:val="18"/>
        </w:rPr>
        <w:t>1.4 The announcement is</w:t>
      </w:r>
    </w:p>
    <w:p>
      <w:pPr>
        <w:pStyle w:val="TextBody"/>
        <w:bidi w:val="0"/>
        <w:jc w:val="left"/>
        <w:rPr>
          <w:rFonts w:ascii="Arial" w:hAnsi="Arial"/>
          <w:color w:val="000000"/>
          <w:sz w:val="18"/>
        </w:rPr>
      </w:pPr>
      <w:r>
        <w:rPr>
          <w:rFonts w:ascii="Arial" w:hAnsi="Arial"/>
          <w:color w:val="000000"/>
          <w:sz w:val="18"/>
        </w:rPr>
        <w:t>New announcement</w:t>
      </w:r>
    </w:p>
    <w:p>
      <w:pPr>
        <w:pStyle w:val="TextBody"/>
        <w:bidi w:val="0"/>
        <w:spacing w:before="48" w:after="283"/>
        <w:jc w:val="left"/>
        <w:rPr>
          <w:rFonts w:ascii="Arial" w:hAnsi="Arial"/>
          <w:b/>
          <w:color w:val="000000"/>
          <w:sz w:val="18"/>
        </w:rPr>
      </w:pPr>
      <w:r>
        <w:rPr>
          <w:rFonts w:ascii="Arial" w:hAnsi="Arial"/>
          <w:b/>
          <w:color w:val="000000"/>
          <w:sz w:val="18"/>
        </w:rPr>
        <w:t>1.5 Date of this announcement</w:t>
      </w:r>
    </w:p>
    <w:p>
      <w:pPr>
        <w:pStyle w:val="TextBody"/>
        <w:bidi w:val="0"/>
        <w:spacing w:before="105" w:after="283"/>
        <w:jc w:val="left"/>
        <w:rPr>
          <w:rFonts w:ascii="Arial" w:hAnsi="Arial"/>
          <w:color w:val="000000"/>
          <w:sz w:val="18"/>
        </w:rPr>
      </w:pPr>
      <w:r>
        <w:rPr>
          <w:rFonts w:ascii="Arial" w:hAnsi="Arial"/>
          <w:color w:val="000000"/>
          <w:sz w:val="18"/>
        </w:rPr>
        <w:t>2/7/2026</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7"/>
              </w:rPr>
            </w:pPr>
            <w:r>
              <w:rPr>
                <w:rFonts w:ascii="Arial" w:hAnsi="Arial"/>
                <w:color w:val="000000"/>
                <w:sz w:val="17"/>
              </w:rPr>
              <w:t>2</w:t>
            </w:r>
            <w:r>
              <w:rPr>
                <w:rFonts w:ascii="Times New Roman" w:hAnsi="Times New Roman"/>
                <w:color w:val="000000"/>
                <w:sz w:val="17"/>
              </w:rPr>
              <w:t> </w:t>
            </w:r>
            <w:r>
              <w:rPr>
                <w:rFonts w:ascii="Arial" w:hAnsi="Arial"/>
                <w:color w:val="000000"/>
                <w:sz w:val="17"/>
              </w:rPr>
              <w:t>/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2 - Type of Issue</w:t>
      </w:r>
    </w:p>
    <w:p>
      <w:pPr>
        <w:pStyle w:val="TextBody"/>
        <w:pBdr>
          <w:bottom w:val="single" w:sz="8" w:space="1" w:color="0C3A6C"/>
        </w:pBdr>
        <w:bidi w:val="0"/>
        <w:spacing w:before="4" w:after="283"/>
        <w:jc w:val="left"/>
        <w:rPr/>
      </w:pPr>
      <w:r>
        <w:rPr/>
        <w:t> </w:t>
      </w:r>
    </w:p>
    <w:p>
      <w:pPr>
        <w:pStyle w:val="TextBody"/>
        <w:bidi w:val="0"/>
        <w:spacing w:before="7" w:after="283"/>
        <w:jc w:val="left"/>
        <w:rPr/>
      </w:pPr>
      <w:r>
        <w:rPr/>
        <w:t> </w:t>
      </w:r>
    </w:p>
    <w:p>
      <w:pPr>
        <w:pStyle w:val="TextBody"/>
        <w:bidi w:val="0"/>
        <w:jc w:val="left"/>
        <w:rPr>
          <w:rFonts w:ascii="Arial" w:hAnsi="Arial"/>
          <w:b/>
          <w:color w:val="000000"/>
          <w:sz w:val="18"/>
        </w:rPr>
      </w:pPr>
      <w:r>
        <w:rPr>
          <w:rFonts w:ascii="Arial" w:hAnsi="Arial"/>
          <w:b/>
          <w:color w:val="000000"/>
          <w:sz w:val="18"/>
        </w:rPr>
        <w:t>2.1 The +securities to be quoted are:</w:t>
      </w:r>
    </w:p>
    <w:p>
      <w:pPr>
        <w:pStyle w:val="TextBody"/>
        <w:bidi w:val="0"/>
        <w:jc w:val="left"/>
        <w:rPr>
          <w:rFonts w:ascii="Arial" w:hAnsi="Arial"/>
          <w:color w:val="000000"/>
          <w:sz w:val="18"/>
        </w:rPr>
      </w:pPr>
      <w:r>
        <w:rPr>
          <w:rFonts w:ascii="Arial" w:hAnsi="Arial"/>
          <w:color w:val="000000"/>
          <w:sz w:val="18"/>
        </w:rPr>
        <w:t>+Securities issued, transferred or re-classified as a result of options being exercised or other +convertible securities being converted</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2.2 The +class of +securities to be quoted is:</w:t>
      </w:r>
    </w:p>
    <w:p>
      <w:pPr>
        <w:pStyle w:val="TextBody"/>
        <w:bidi w:val="0"/>
        <w:jc w:val="left"/>
        <w:rPr>
          <w:rFonts w:ascii="Arial" w:hAnsi="Arial"/>
          <w:color w:val="000000"/>
          <w:sz w:val="18"/>
        </w:rPr>
      </w:pPr>
      <w:r>
        <w:rPr>
          <w:rFonts w:ascii="Arial" w:hAnsi="Arial"/>
          <w:color w:val="000000"/>
          <w:sz w:val="18"/>
        </w:rPr>
        <w:t>Additional +securities in a class that is already quoted on ASX ("existing class")</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7"/>
              </w:rPr>
            </w:pPr>
            <w:r>
              <w:rPr>
                <w:rFonts w:ascii="Arial" w:hAnsi="Arial"/>
                <w:color w:val="000000"/>
                <w:sz w:val="17"/>
              </w:rPr>
              <w:t>3</w:t>
            </w:r>
            <w:r>
              <w:rPr>
                <w:rFonts w:ascii="Times New Roman" w:hAnsi="Times New Roman"/>
                <w:color w:val="000000"/>
                <w:sz w:val="17"/>
              </w:rPr>
              <w:t> </w:t>
            </w:r>
            <w:r>
              <w:rPr>
                <w:rFonts w:ascii="Arial" w:hAnsi="Arial"/>
                <w:color w:val="000000"/>
                <w:sz w:val="17"/>
              </w:rPr>
              <w:t>/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3B - number and type of +securities to be quoted (existing class) where issue has not previously been notified to ASX in an Appendix 3B</w:t>
      </w:r>
    </w:p>
    <w:p>
      <w:pPr>
        <w:pStyle w:val="TextBody"/>
        <w:pBdr>
          <w:top w:val="single" w:sz="8" w:space="1" w:color="0C3A6C"/>
        </w:pBdr>
        <w:bidi w:val="0"/>
        <w:spacing w:before="6" w:after="283"/>
        <w:jc w:val="left"/>
        <w:rPr/>
      </w:pPr>
      <w:r>
        <w:rPr/>
        <w:t> </w:t>
      </w:r>
    </w:p>
    <w:p>
      <w:pPr>
        <w:pStyle w:val="TextBody"/>
        <w:bidi w:val="0"/>
        <w:jc w:val="left"/>
        <w:rPr>
          <w:rFonts w:ascii="Arial" w:hAnsi="Arial"/>
          <w:b/>
          <w:color w:val="000000"/>
          <w:sz w:val="18"/>
        </w:rPr>
      </w:pPr>
      <w:r>
        <w:rPr>
          <w:rFonts w:ascii="Arial" w:hAnsi="Arial"/>
          <w:b/>
          <w:color w:val="000000"/>
          <w:sz w:val="18"/>
        </w:rPr>
        <w:t>Existing +securities converting into additional +securities in an existing class FROM (Existing Class)</w:t>
      </w:r>
    </w:p>
    <w:p>
      <w:pPr>
        <w:pStyle w:val="TextBody"/>
        <w:bidi w:val="0"/>
        <w:spacing w:before="7"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NVX:AD : PERFORMANCE RIGHTS</w:t>
      </w:r>
    </w:p>
    <w:p>
      <w:pPr>
        <w:pStyle w:val="TextBody"/>
        <w:bidi w:val="0"/>
        <w:jc w:val="left"/>
        <w:rPr/>
      </w:pPr>
      <w:r>
        <w:rPr/>
        <w:t> </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TO (Existing Class)</w:t>
      </w:r>
    </w:p>
    <w:p>
      <w:pPr>
        <w:pStyle w:val="TextBody"/>
        <w:bidi w:val="0"/>
        <w:spacing w:before="3"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 : ORDINARY FULLY PAID</w:t>
      </w:r>
    </w:p>
    <w:p>
      <w:pPr>
        <w:pStyle w:val="TextBody"/>
        <w:bidi w:val="0"/>
        <w:spacing w:before="10" w:after="283"/>
        <w:jc w:val="left"/>
        <w:rPr/>
      </w:pPr>
      <w:r>
        <w:rPr/>
        <w:t> </w:t>
      </w:r>
    </w:p>
    <w:tbl>
      <w:tblPr>
        <w:tblW w:w="8718" w:type="dxa"/>
        <w:jc w:val="left"/>
        <w:tblInd w:w="0" w:type="dxa"/>
        <w:tblLayout w:type="fixed"/>
        <w:tblCellMar>
          <w:top w:w="28" w:type="dxa"/>
          <w:left w:w="28" w:type="dxa"/>
          <w:bottom w:w="28" w:type="dxa"/>
          <w:right w:w="28" w:type="dxa"/>
        </w:tblCellMar>
      </w:tblPr>
      <w:tblGrid>
        <w:gridCol w:w="3091"/>
        <w:gridCol w:w="2791"/>
        <w:gridCol w:w="2836"/>
      </w:tblGrid>
      <w:tr>
        <w:trPr/>
        <w:tc>
          <w:tcPr>
            <w:tcW w:w="30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Please state the number of options</w:t>
              <w:br/>
              <w:t>that were exercised or other</w:t>
            </w:r>
          </w:p>
          <w:p>
            <w:pPr>
              <w:pStyle w:val="TableContents"/>
              <w:bidi w:val="0"/>
              <w:spacing w:before="2" w:after="283"/>
              <w:jc w:val="left"/>
              <w:rPr>
                <w:rFonts w:ascii="Arial" w:hAnsi="Arial"/>
                <w:b/>
                <w:color w:val="000000"/>
                <w:sz w:val="18"/>
              </w:rPr>
            </w:pPr>
            <w:r>
              <w:rPr>
                <w:rFonts w:ascii="Arial" w:hAnsi="Arial"/>
                <w:b/>
                <w:color w:val="000000"/>
                <w:sz w:val="18"/>
              </w:rPr>
              <w:t>+convertible securities that were</w:t>
              <w:br/>
              <w:t>converted</w:t>
            </w:r>
          </w:p>
          <w:p>
            <w:pPr>
              <w:pStyle w:val="TableContents"/>
              <w:bidi w:val="0"/>
              <w:spacing w:before="104" w:after="283"/>
              <w:jc w:val="left"/>
              <w:rPr>
                <w:rFonts w:ascii="Arial" w:hAnsi="Arial"/>
                <w:color w:val="000000"/>
                <w:sz w:val="18"/>
              </w:rPr>
            </w:pPr>
            <w:r>
              <w:rPr>
                <w:rFonts w:ascii="Arial" w:hAnsi="Arial"/>
                <w:color w:val="000000"/>
                <w:sz w:val="18"/>
              </w:rPr>
              <w:t>54,480</w:t>
            </w:r>
          </w:p>
        </w:tc>
        <w:tc>
          <w:tcPr>
            <w:tcW w:w="2791"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The first date the options were</w:t>
              <w:br/>
              <w:t>exercised or other +convertible</w:t>
              <w:br/>
              <w:t>securities were converted</w:t>
            </w:r>
          </w:p>
          <w:p>
            <w:pPr>
              <w:pStyle w:val="TableContents"/>
              <w:bidi w:val="0"/>
              <w:spacing w:before="105" w:after="283"/>
              <w:jc w:val="left"/>
              <w:rPr>
                <w:rFonts w:ascii="Arial" w:hAnsi="Arial"/>
                <w:color w:val="000000"/>
                <w:sz w:val="18"/>
              </w:rPr>
            </w:pPr>
            <w:r>
              <w:rPr>
                <w:rFonts w:ascii="Arial" w:hAnsi="Arial"/>
                <w:color w:val="000000"/>
                <w:sz w:val="18"/>
              </w:rPr>
              <w:t>2/7/2026</w:t>
            </w:r>
          </w:p>
        </w:tc>
        <w:tc>
          <w:tcPr>
            <w:tcW w:w="2836"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The last date the options were</w:t>
              <w:br/>
              <w:t>exercised or other +convertible</w:t>
              <w:br/>
              <w:t>securities were converted</w:t>
            </w:r>
          </w:p>
          <w:p>
            <w:pPr>
              <w:pStyle w:val="TableContents"/>
              <w:bidi w:val="0"/>
              <w:spacing w:before="105" w:after="283"/>
              <w:jc w:val="left"/>
              <w:rPr>
                <w:rFonts w:ascii="Arial" w:hAnsi="Arial"/>
                <w:color w:val="000000"/>
                <w:sz w:val="18"/>
              </w:rPr>
            </w:pPr>
            <w:r>
              <w:rPr>
                <w:rFonts w:ascii="Arial" w:hAnsi="Arial"/>
                <w:color w:val="000000"/>
                <w:sz w:val="18"/>
              </w:rPr>
              <w:t>2/7/2026</w:t>
            </w:r>
          </w:p>
        </w:tc>
      </w:tr>
    </w:tbl>
    <w:p>
      <w:pPr>
        <w:pStyle w:val="TextBody"/>
        <w:bidi w:val="0"/>
        <w:jc w:val="left"/>
        <w:rPr/>
      </w:pPr>
      <w:r>
        <w:rPr/>
        <w:t> </w:t>
      </w:r>
    </w:p>
    <w:p>
      <w:pPr>
        <w:pStyle w:val="TextBody"/>
        <w:bidi w:val="0"/>
        <w:spacing w:before="10" w:after="283"/>
        <w:jc w:val="left"/>
        <w:rPr/>
      </w:pPr>
      <w:r>
        <w:rPr/>
        <w:t> </w:t>
      </w:r>
    </w:p>
    <w:p>
      <w:pPr>
        <w:pStyle w:val="TextBody"/>
        <w:bidi w:val="0"/>
        <w:spacing w:before="95" w:after="283"/>
        <w:jc w:val="left"/>
        <w:rPr>
          <w:rFonts w:ascii="Arial" w:hAnsi="Arial"/>
          <w:b/>
          <w:color w:val="000000"/>
          <w:sz w:val="18"/>
        </w:rPr>
      </w:pPr>
      <w:r>
        <w:rPr>
          <w:rFonts w:ascii="Arial" w:hAnsi="Arial"/>
          <w:b/>
          <w:color w:val="000000"/>
          <w:sz w:val="18"/>
        </w:rPr>
        <w:t>Is this all of the options or other +convertible securities on issue of that type (ie have all of those options now been exercised or have all of those convertible securities now been converted)?</w:t>
      </w:r>
    </w:p>
    <w:p>
      <w:pPr>
        <w:pStyle w:val="TextBody"/>
        <w:bidi w:val="0"/>
        <w:jc w:val="left"/>
        <w:rPr>
          <w:rFonts w:ascii="Arial" w:hAnsi="Arial"/>
          <w:color w:val="000000"/>
          <w:sz w:val="18"/>
        </w:rPr>
      </w:pPr>
      <w:r>
        <w:rPr>
          <w:rFonts w:ascii="Arial" w:hAnsi="Arial"/>
          <w:color w:val="000000"/>
          <w:sz w:val="18"/>
        </w:rPr>
        <w:t>No</w:t>
      </w:r>
    </w:p>
    <w:p>
      <w:pPr>
        <w:pStyle w:val="TextBody"/>
        <w:bidi w:val="0"/>
        <w:spacing w:before="48" w:after="283"/>
        <w:jc w:val="left"/>
        <w:rPr>
          <w:rFonts w:ascii="Arial" w:hAnsi="Arial"/>
          <w:b/>
          <w:color w:val="000000"/>
          <w:sz w:val="18"/>
        </w:rPr>
      </w:pPr>
      <w:r>
        <w:rPr>
          <w:rFonts w:ascii="Arial" w:hAnsi="Arial"/>
          <w:b/>
          <w:color w:val="000000"/>
          <w:sz w:val="18"/>
        </w:rPr>
        <w:t>The right of the holder of the options or other +convertible securities to receive the +underlying securities is being satisfied by:</w:t>
      </w:r>
    </w:p>
    <w:p>
      <w:pPr>
        <w:pStyle w:val="TextBody"/>
        <w:bidi w:val="0"/>
        <w:jc w:val="left"/>
        <w:rPr>
          <w:rFonts w:ascii="Arial" w:hAnsi="Arial"/>
          <w:color w:val="000000"/>
          <w:sz w:val="18"/>
        </w:rPr>
      </w:pPr>
      <w:r>
        <w:rPr>
          <w:rFonts w:ascii="Arial" w:hAnsi="Arial"/>
          <w:color w:val="000000"/>
          <w:sz w:val="18"/>
        </w:rPr>
        <w:t>An issue of new +securities</w:t>
      </w:r>
    </w:p>
    <w:p>
      <w:pPr>
        <w:pStyle w:val="TextBody"/>
        <w:bidi w:val="0"/>
        <w:spacing w:before="48" w:after="283"/>
        <w:jc w:val="left"/>
        <w:rPr>
          <w:rFonts w:ascii="Arial" w:hAnsi="Arial"/>
          <w:b/>
          <w:color w:val="000000"/>
          <w:sz w:val="18"/>
        </w:rPr>
      </w:pPr>
      <w:r>
        <w:rPr>
          <w:rFonts w:ascii="Arial" w:hAnsi="Arial"/>
          <w:b/>
          <w:color w:val="000000"/>
          <w:sz w:val="18"/>
        </w:rPr>
        <w:t>The underlying +securities being received by the holder are:</w:t>
      </w:r>
    </w:p>
    <w:p>
      <w:pPr>
        <w:pStyle w:val="TextBody"/>
        <w:bidi w:val="0"/>
        <w:jc w:val="left"/>
        <w:rPr>
          <w:rFonts w:ascii="Arial" w:hAnsi="Arial"/>
          <w:color w:val="000000"/>
          <w:sz w:val="18"/>
        </w:rPr>
      </w:pPr>
      <w:r>
        <w:rPr>
          <w:rFonts w:ascii="Arial" w:hAnsi="Arial"/>
          <w:color w:val="000000"/>
          <w:sz w:val="18"/>
        </w:rPr>
        <w:t>Intended to be, but are not yet, quoted by ASX</w:t>
      </w:r>
    </w:p>
    <w:p>
      <w:pPr>
        <w:pStyle w:val="TextBody"/>
        <w:bidi w:val="0"/>
        <w:spacing w:before="48" w:after="283"/>
        <w:jc w:val="left"/>
        <w:rPr>
          <w:rFonts w:ascii="Arial" w:hAnsi="Arial"/>
          <w:b/>
          <w:color w:val="000000"/>
          <w:sz w:val="18"/>
        </w:rPr>
      </w:pPr>
      <w:r>
        <w:rPr>
          <w:rFonts w:ascii="Arial" w:hAnsi="Arial"/>
          <w:b/>
          <w:color w:val="000000"/>
          <w:sz w:val="18"/>
        </w:rPr>
        <w:t>Were the options being exercised or other +convertible securities being converted issued under an +employee incentive scheme?</w:t>
      </w:r>
    </w:p>
    <w:p>
      <w:pPr>
        <w:pStyle w:val="TextBody"/>
        <w:bidi w:val="0"/>
        <w:jc w:val="left"/>
        <w:rPr>
          <w:rFonts w:ascii="Arial" w:hAnsi="Arial"/>
          <w:color w:val="000000"/>
          <w:sz w:val="18"/>
        </w:rPr>
      </w:pPr>
      <w:r>
        <w:rPr>
          <w:rFonts w:ascii="Arial" w:hAnsi="Arial"/>
          <w:color w:val="000000"/>
          <w:sz w:val="18"/>
        </w:rPr>
        <w:t>Yes</w:t>
      </w:r>
    </w:p>
    <w:p>
      <w:pPr>
        <w:pStyle w:val="TextBody"/>
        <w:bidi w:val="0"/>
        <w:jc w:val="left"/>
        <w:rPr>
          <w:rFonts w:ascii="Arial" w:hAnsi="Arial"/>
          <w:b/>
          <w:color w:val="000000"/>
          <w:sz w:val="18"/>
        </w:rPr>
      </w:pPr>
      <w:r>
        <w:rPr>
          <w:rFonts w:ascii="Arial" w:hAnsi="Arial"/>
          <w:b/>
          <w:color w:val="000000"/>
          <w:sz w:val="18"/>
        </w:rPr>
        <w:t>Are any of the options being exercised or other +convertible securities being converted held by +key managemetn personnel (KMP) or an +associate?</w:t>
      </w:r>
    </w:p>
    <w:p>
      <w:pPr>
        <w:pStyle w:val="TextBody"/>
        <w:bidi w:val="0"/>
        <w:spacing w:before="48" w:after="283"/>
        <w:jc w:val="left"/>
        <w:rPr>
          <w:rFonts w:ascii="Arial" w:hAnsi="Arial"/>
          <w:color w:val="000000"/>
          <w:sz w:val="18"/>
        </w:rPr>
      </w:pPr>
      <w:r>
        <w:rPr>
          <w:rFonts w:ascii="Arial" w:hAnsi="Arial"/>
          <w:color w:val="000000"/>
          <w:sz w:val="18"/>
        </w:rPr>
        <w:t>No</w:t>
      </w:r>
    </w:p>
    <w:p>
      <w:pPr>
        <w:pStyle w:val="TextBody"/>
        <w:bidi w:val="0"/>
        <w:spacing w:before="48"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Issue date</w:t>
      </w:r>
    </w:p>
    <w:p>
      <w:pPr>
        <w:pStyle w:val="TextBody"/>
        <w:bidi w:val="0"/>
        <w:spacing w:before="105" w:after="283"/>
        <w:jc w:val="left"/>
        <w:rPr>
          <w:rFonts w:ascii="Arial" w:hAnsi="Arial"/>
          <w:color w:val="000000"/>
          <w:sz w:val="18"/>
        </w:rPr>
      </w:pPr>
      <w:r>
        <w:rPr>
          <w:rFonts w:ascii="Arial" w:hAnsi="Arial"/>
          <w:color w:val="000000"/>
          <w:sz w:val="18"/>
        </w:rPr>
        <w:t>3/7/2026</w:t>
      </w:r>
    </w:p>
    <w:p>
      <w:pPr>
        <w:pStyle w:val="TextBody"/>
        <w:bidi w:val="0"/>
        <w:spacing w:before="153" w:after="283"/>
        <w:jc w:val="left"/>
        <w:rPr>
          <w:rFonts w:ascii="Arial" w:hAnsi="Arial"/>
          <w:b/>
          <w:color w:val="000000"/>
          <w:sz w:val="18"/>
        </w:rPr>
      </w:pPr>
      <w:r>
        <w:rPr>
          <w:rFonts w:ascii="Arial" w:hAnsi="Arial"/>
          <w:b/>
          <w:color w:val="000000"/>
          <w:sz w:val="18"/>
        </w:rPr>
        <w:t>Will the +securities to be quoted rank equally in all respects from their issue date with the existing issued</w:t>
      </w:r>
    </w:p>
    <w:p>
      <w:pPr>
        <w:pStyle w:val="TextBody"/>
        <w:bidi w:val="0"/>
        <w:spacing w:before="3" w:after="283"/>
        <w:jc w:val="left"/>
        <w:rPr>
          <w:rFonts w:ascii="Arial" w:hAnsi="Arial"/>
          <w:b/>
          <w:color w:val="000000"/>
          <w:sz w:val="18"/>
        </w:rPr>
      </w:pPr>
      <w:r>
        <w:rPr>
          <w:rFonts w:ascii="Arial" w:hAnsi="Arial"/>
          <w:b/>
          <w:color w:val="000000"/>
          <w:sz w:val="18"/>
        </w:rPr>
        <w:t>+securities in that class?</w:t>
      </w:r>
    </w:p>
    <w:p>
      <w:pPr>
        <w:pStyle w:val="TextBody"/>
        <w:bidi w:val="0"/>
        <w:jc w:val="left"/>
        <w:rPr>
          <w:rFonts w:ascii="Arial" w:hAnsi="Arial"/>
          <w:color w:val="000000"/>
          <w:sz w:val="18"/>
        </w:rPr>
      </w:pPr>
      <w:r>
        <w:rPr>
          <w:rFonts w:ascii="Arial" w:hAnsi="Arial"/>
          <w:color w:val="000000"/>
          <w:sz w:val="18"/>
        </w:rPr>
        <w:t>Yes</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7"/>
              </w:rPr>
            </w:pPr>
            <w:r>
              <w:rPr>
                <w:rFonts w:ascii="Arial" w:hAnsi="Arial"/>
                <w:color w:val="000000"/>
                <w:sz w:val="17"/>
              </w:rPr>
              <w:t>4</w:t>
            </w:r>
            <w:r>
              <w:rPr>
                <w:rFonts w:ascii="Times New Roman" w:hAnsi="Times New Roman"/>
                <w:color w:val="000000"/>
                <w:sz w:val="17"/>
              </w:rPr>
              <w:t> </w:t>
            </w:r>
            <w:r>
              <w:rPr>
                <w:rFonts w:ascii="Arial" w:hAnsi="Arial"/>
                <w:color w:val="000000"/>
                <w:sz w:val="17"/>
              </w:rPr>
              <w:t>/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Issue details</w:t>
      </w:r>
    </w:p>
    <w:p>
      <w:pPr>
        <w:pStyle w:val="TextBody"/>
        <w:pBdr>
          <w:bottom w:val="single" w:sz="4" w:space="1" w:color="E3E3E3"/>
        </w:pBdr>
        <w:bidi w:val="0"/>
        <w:jc w:val="left"/>
        <w:rPr/>
      </w:pPr>
      <w:r>
        <w:rPr/>
        <w:t> </w:t>
      </w:r>
    </w:p>
    <w:p>
      <w:pPr>
        <w:pStyle w:val="TextBody"/>
        <w:bidi w:val="0"/>
        <w:jc w:val="left"/>
        <w:rPr/>
      </w:pPr>
      <w:r>
        <w:rPr/>
        <w:t> </w:t>
      </w:r>
    </w:p>
    <w:p>
      <w:pPr>
        <w:pStyle w:val="TextBody"/>
        <w:bidi w:val="0"/>
        <w:spacing w:before="137" w:after="283"/>
        <w:jc w:val="left"/>
        <w:rPr>
          <w:rFonts w:ascii="Arial" w:hAnsi="Arial"/>
          <w:b/>
          <w:color w:val="000000"/>
          <w:sz w:val="18"/>
        </w:rPr>
      </w:pPr>
      <w:r>
        <w:rPr>
          <w:rFonts w:ascii="Arial" w:hAnsi="Arial"/>
          <w:b/>
          <w:color w:val="000000"/>
          <w:sz w:val="18"/>
        </w:rPr>
        <w:t>Number of +securities to be quoted</w:t>
      </w:r>
    </w:p>
    <w:p>
      <w:pPr>
        <w:pStyle w:val="TextBody"/>
        <w:bidi w:val="0"/>
        <w:spacing w:before="105" w:after="283"/>
        <w:jc w:val="left"/>
        <w:rPr>
          <w:rFonts w:ascii="Arial" w:hAnsi="Arial"/>
          <w:color w:val="000000"/>
          <w:sz w:val="18"/>
        </w:rPr>
      </w:pPr>
      <w:r>
        <w:rPr>
          <w:rFonts w:ascii="Arial" w:hAnsi="Arial"/>
          <w:color w:val="000000"/>
          <w:sz w:val="18"/>
        </w:rPr>
        <w:t>34,824</w:t>
      </w:r>
    </w:p>
    <w:p>
      <w:pPr>
        <w:pStyle w:val="TextBody"/>
        <w:bidi w:val="0"/>
        <w:spacing w:before="154" w:after="283"/>
        <w:jc w:val="left"/>
        <w:rPr>
          <w:rFonts w:ascii="Arial" w:hAnsi="Arial"/>
          <w:b/>
          <w:color w:val="000000"/>
          <w:sz w:val="18"/>
        </w:rPr>
      </w:pPr>
      <w:r>
        <w:rPr>
          <w:rFonts w:ascii="Arial" w:hAnsi="Arial"/>
          <w:b/>
          <w:color w:val="000000"/>
          <w:sz w:val="18"/>
        </w:rPr>
        <w:t>Are the +securities being issued for a cash consideration?</w:t>
      </w:r>
    </w:p>
    <w:p>
      <w:pPr>
        <w:pStyle w:val="TextBody"/>
        <w:bidi w:val="0"/>
        <w:spacing w:before="84" w:after="283"/>
        <w:jc w:val="left"/>
        <w:rPr>
          <w:rFonts w:ascii="Arial" w:hAnsi="Arial"/>
          <w:color w:val="000000"/>
          <w:sz w:val="18"/>
        </w:rPr>
      </w:pPr>
      <w:r>
        <w:rPr>
          <w:rFonts w:ascii="Arial" w:hAnsi="Arial"/>
          <w:color w:val="000000"/>
          <w:sz w:val="18"/>
        </w:rPr>
        <w:t>No</w:t>
      </w:r>
    </w:p>
    <w:p>
      <w:pPr>
        <w:pStyle w:val="TextBody"/>
        <w:bidi w:val="0"/>
        <w:spacing w:before="11" w:after="283"/>
        <w:jc w:val="left"/>
        <w:rPr/>
      </w:pPr>
      <w:r>
        <w:rPr/>
        <w:t> </w:t>
      </w:r>
    </w:p>
    <w:p>
      <w:pPr>
        <w:pStyle w:val="TextBody"/>
        <w:bidi w:val="0"/>
        <w:spacing w:before="0" w:after="40"/>
        <w:jc w:val="left"/>
        <w:rPr>
          <w:rFonts w:ascii="Arial" w:hAnsi="Arial"/>
          <w:b/>
          <w:color w:val="000000"/>
          <w:sz w:val="18"/>
        </w:rPr>
      </w:pPr>
      <w:r>
        <w:rPr>
          <w:rFonts w:ascii="Arial" w:hAnsi="Arial"/>
          <w:b/>
          <w:color w:val="000000"/>
          <w:sz w:val="18"/>
        </w:rPr>
        <w:t>Please describe the consideration being provided for the +securities</w:t>
      </w:r>
    </w:p>
    <w:tbl>
      <w:tblPr>
        <w:tblW w:w="5174" w:type="dxa"/>
        <w:jc w:val="left"/>
        <w:tblInd w:w="0" w:type="dxa"/>
        <w:tblLayout w:type="fixed"/>
        <w:tblCellMar>
          <w:top w:w="28" w:type="dxa"/>
          <w:left w:w="28" w:type="dxa"/>
          <w:bottom w:w="28" w:type="dxa"/>
          <w:right w:w="28" w:type="dxa"/>
        </w:tblCellMar>
      </w:tblPr>
      <w:tblGrid>
        <w:gridCol w:w="5174"/>
      </w:tblGrid>
      <w:tr>
        <w:trPr/>
        <w:tc>
          <w:tcPr>
            <w:tcW w:w="5174" w:type="dxa"/>
            <w:tcBorders/>
            <w:vAlign w:val="center"/>
          </w:tcPr>
          <w:p>
            <w:pPr>
              <w:pStyle w:val="TableContents"/>
              <w:bidi w:val="0"/>
              <w:spacing w:before="0" w:after="283"/>
              <w:ind w:left="0" w:right="0" w:firstLine="58"/>
              <w:jc w:val="left"/>
              <w:rPr>
                <w:sz w:val="4"/>
                <w:szCs w:val="4"/>
              </w:rPr>
            </w:pPr>
            <w:r>
              <w:rPr>
                <w:sz w:val="4"/>
                <w:szCs w:val="4"/>
              </w:rPr>
            </w:r>
          </w:p>
        </w:tc>
      </w:tr>
      <w:tr>
        <w:trPr/>
        <w:tc>
          <w:tcPr>
            <w:tcW w:w="5174"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62" w:after="62"/>
              <w:ind w:left="0" w:right="0" w:firstLine="58"/>
              <w:jc w:val="left"/>
              <w:rPr>
                <w:rFonts w:ascii="Arial" w:hAnsi="Arial"/>
                <w:color w:val="000000"/>
                <w:sz w:val="18"/>
              </w:rPr>
            </w:pPr>
            <w:r>
              <w:rPr>
                <w:rFonts w:ascii="Arial" w:hAnsi="Arial"/>
                <w:color w:val="000000"/>
                <w:sz w:val="18"/>
              </w:rPr>
              <w:t>Issue of ordinary shares on the vesting of performance rights.</w:t>
            </w:r>
          </w:p>
        </w:tc>
      </w:tr>
    </w:tbl>
    <w:p>
      <w:pPr>
        <w:pStyle w:val="TextBody"/>
        <w:bidi w:val="0"/>
        <w:spacing w:before="57" w:after="283"/>
        <w:jc w:val="left"/>
        <w:rPr>
          <w:rFonts w:ascii="Arial" w:hAnsi="Arial"/>
          <w:b/>
          <w:color w:val="000000"/>
          <w:sz w:val="18"/>
        </w:rPr>
      </w:pPr>
      <w:r>
        <w:rPr>
          <w:rFonts w:ascii="Arial" w:hAnsi="Arial"/>
          <w:b/>
          <w:color w:val="000000"/>
          <w:sz w:val="18"/>
        </w:rPr>
        <w:t>Please provide an estimate (in AUD) of the value of the consideration being provided per +security for the</w:t>
      </w:r>
    </w:p>
    <w:p>
      <w:pPr>
        <w:pStyle w:val="TextBody"/>
        <w:bidi w:val="0"/>
        <w:spacing w:before="3" w:after="283"/>
        <w:jc w:val="left"/>
        <w:rPr>
          <w:rFonts w:ascii="Arial" w:hAnsi="Arial"/>
          <w:b/>
          <w:color w:val="000000"/>
          <w:sz w:val="18"/>
        </w:rPr>
      </w:pPr>
      <w:r>
        <w:rPr>
          <w:rFonts w:ascii="Arial" w:hAnsi="Arial"/>
          <w:b/>
          <w:color w:val="000000"/>
          <w:sz w:val="18"/>
        </w:rPr>
        <w:t>+securities to be quoted</w:t>
      </w:r>
    </w:p>
    <w:p>
      <w:pPr>
        <w:pStyle w:val="TextBody"/>
        <w:bidi w:val="0"/>
        <w:spacing w:before="105" w:after="283"/>
        <w:jc w:val="left"/>
        <w:rPr>
          <w:rFonts w:ascii="Arial" w:hAnsi="Arial"/>
          <w:color w:val="000000"/>
          <w:sz w:val="18"/>
        </w:rPr>
      </w:pPr>
      <w:r>
        <w:rPr>
          <w:rFonts w:ascii="Arial" w:hAnsi="Arial"/>
          <w:color w:val="000000"/>
          <w:sz w:val="18"/>
        </w:rPr>
        <w:t>0.155000</w:t>
      </w:r>
    </w:p>
    <w:p>
      <w:pPr>
        <w:pStyle w:val="TextBody"/>
        <w:bidi w:val="0"/>
        <w:spacing w:before="154" w:after="40"/>
        <w:jc w:val="left"/>
        <w:rPr>
          <w:rFonts w:ascii="Arial" w:hAnsi="Arial"/>
          <w:b/>
          <w:color w:val="000000"/>
          <w:sz w:val="18"/>
        </w:rPr>
      </w:pPr>
      <w:r>
        <w:rPr>
          <w:rFonts w:ascii="Arial" w:hAnsi="Arial"/>
          <w:b/>
          <w:color w:val="000000"/>
          <w:sz w:val="18"/>
        </w:rPr>
        <w:t>Any other information the entity wishes to provide about the +securities to be quoted</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62" w:after="62"/>
              <w:jc w:val="left"/>
              <w:rPr/>
            </w:pPr>
            <w:r>
              <w:rPr/>
              <w:t> </w:t>
            </w:r>
          </w:p>
        </w:tc>
      </w:tr>
    </w:tbl>
    <w:p>
      <w:pPr>
        <w:pStyle w:val="TextBody"/>
        <w:bidi w:val="0"/>
        <w:spacing w:before="6" w:after="283"/>
        <w:jc w:val="left"/>
        <w:rPr/>
      </w:pPr>
      <w:r>
        <w:rPr/>
        <w:t> </w:t>
      </w:r>
    </w:p>
    <w:p>
      <w:pPr>
        <w:pStyle w:val="TextBody"/>
        <w:bidi w:val="0"/>
        <w:spacing w:before="6" w:after="283"/>
        <w:jc w:val="left"/>
        <w:rPr/>
      </w:pPr>
      <w:r>
        <w:rPr/>
        <w:t> </w:t>
      </w:r>
    </w:p>
    <w:p>
      <w:pPr>
        <w:pStyle w:val="TextBody"/>
        <w:pBdr>
          <w:top w:val="single" w:sz="12" w:space="1" w:color="DDDDDD"/>
        </w:pBdr>
        <w:bidi w:val="0"/>
        <w:spacing w:before="6" w:after="283"/>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7"/>
              </w:rPr>
            </w:pPr>
            <w:r>
              <w:rPr>
                <w:rFonts w:ascii="Arial" w:hAnsi="Arial"/>
                <w:color w:val="000000"/>
                <w:sz w:val="17"/>
              </w:rPr>
              <w:t>5</w:t>
            </w:r>
            <w:r>
              <w:rPr>
                <w:rFonts w:ascii="Times New Roman" w:hAnsi="Times New Roman"/>
                <w:color w:val="000000"/>
                <w:sz w:val="17"/>
              </w:rPr>
              <w:t> </w:t>
            </w:r>
            <w:r>
              <w:rPr>
                <w:rFonts w:ascii="Arial" w:hAnsi="Arial"/>
                <w:color w:val="000000"/>
                <w:sz w:val="17"/>
              </w:rPr>
              <w:t>/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4 - Issued capital following quotation</w:t>
      </w:r>
    </w:p>
    <w:p>
      <w:pPr>
        <w:pStyle w:val="TextBody"/>
        <w:pBdr>
          <w:bottom w:val="single" w:sz="8" w:space="1" w:color="0C3A6C"/>
        </w:pBdr>
        <w:bidi w:val="0"/>
        <w:spacing w:before="4" w:after="283"/>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jc w:val="left"/>
        <w:rPr>
          <w:rFonts w:ascii="Arial" w:hAnsi="Arial"/>
          <w:b/>
          <w:color w:val="000000"/>
          <w:sz w:val="18"/>
        </w:rPr>
      </w:pPr>
      <w:r>
        <w:rPr>
          <w:rFonts w:ascii="Arial" w:hAnsi="Arial"/>
          <w:b/>
          <w:color w:val="000000"/>
          <w:sz w:val="18"/>
        </w:rPr>
        <w:t>Following the quotation of the +securities the subject of this application, the issued capital of the entity will comprise:</w:t>
      </w:r>
    </w:p>
    <w:p>
      <w:pPr>
        <w:pStyle w:val="TextBody"/>
        <w:bidi w:val="0"/>
        <w:spacing w:before="83" w:after="283"/>
        <w:jc w:val="left"/>
        <w:rPr>
          <w:rFonts w:ascii="Arial" w:hAnsi="Arial"/>
          <w:color w:val="000000"/>
          <w:sz w:val="18"/>
        </w:rPr>
      </w:pPr>
      <w:r>
        <w:rPr>
          <w:rFonts w:ascii="Arial" w:hAnsi="Arial"/>
          <w:color w:val="000000"/>
          <w:sz w:val="18"/>
        </w:rPr>
        <w:t>The figures in parts 4.1 and 4.2 below are automatically generated and may not reflect the entity's current issued capital if other Appendix 2A, Appendix 3G or Appendix 3H forms are currently with ASX for processing.</w:t>
      </w:r>
    </w:p>
    <w:p>
      <w:pPr>
        <w:pStyle w:val="TextBody"/>
        <w:bidi w:val="0"/>
        <w:spacing w:before="131" w:after="283"/>
        <w:jc w:val="left"/>
        <w:rPr>
          <w:rFonts w:ascii="Arial" w:hAnsi="Arial"/>
          <w:b/>
          <w:color w:val="000000"/>
          <w:sz w:val="18"/>
        </w:rPr>
      </w:pPr>
      <w:r>
        <w:rPr>
          <w:rFonts w:ascii="Arial" w:hAnsi="Arial"/>
          <w:b/>
          <w:color w:val="000000"/>
          <w:sz w:val="18"/>
        </w:rPr>
        <w:t>4.1 Quoted +securities (total number of each +class of +securities quoted on ASX following the +quotation of the</w:t>
      </w:r>
    </w:p>
    <w:p>
      <w:pPr>
        <w:pStyle w:val="TextBody"/>
        <w:bidi w:val="0"/>
        <w:spacing w:before="3" w:after="283"/>
        <w:jc w:val="left"/>
        <w:rPr>
          <w:rFonts w:ascii="Arial" w:hAnsi="Arial"/>
          <w:b/>
          <w:color w:val="000000"/>
          <w:sz w:val="18"/>
        </w:rPr>
      </w:pPr>
      <w:r>
        <w:rPr>
          <w:rFonts w:ascii="Arial" w:hAnsi="Arial"/>
          <w:b/>
          <w:color w:val="000000"/>
          <w:sz w:val="18"/>
        </w:rPr>
        <w:t>+securities subject of this application)</w:t>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3181"/>
        <w:gridCol w:w="1876"/>
      </w:tblGrid>
      <w:tr>
        <w:trPr/>
        <w:tc>
          <w:tcPr>
            <w:tcW w:w="318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172"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 : ORDINARY FULLY PAID</w:t>
            </w:r>
          </w:p>
        </w:tc>
        <w:tc>
          <w:tcPr>
            <w:tcW w:w="18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991,596,744</w:t>
            </w:r>
          </w:p>
        </w:tc>
      </w:tr>
    </w:tbl>
    <w:p>
      <w:pPr>
        <w:pStyle w:val="TextBody"/>
        <w:bidi w:val="0"/>
        <w:jc w:val="left"/>
        <w:rPr/>
      </w:pPr>
      <w:r>
        <w:rPr/>
        <w:t> </w:t>
      </w:r>
    </w:p>
    <w:p>
      <w:pPr>
        <w:pStyle w:val="TextBody"/>
        <w:bidi w:val="0"/>
        <w:spacing w:before="10"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4.2 Unquoted +securities (total number of each +class of +securities issued but not quoted on ASX)</w:t>
      </w:r>
    </w:p>
    <w:p>
      <w:pPr>
        <w:pStyle w:val="TextBody"/>
        <w:bidi w:val="0"/>
        <w:spacing w:before="7" w:after="283"/>
        <w:jc w:val="left"/>
        <w:rPr/>
      </w:pPr>
      <w:r>
        <w:rPr/>
        <w:t> </w:t>
      </w:r>
    </w:p>
    <w:tbl>
      <w:tblPr>
        <w:tblW w:w="8301" w:type="dxa"/>
        <w:jc w:val="left"/>
        <w:tblInd w:w="0" w:type="dxa"/>
        <w:tblLayout w:type="fixed"/>
        <w:tblCellMar>
          <w:top w:w="28" w:type="dxa"/>
          <w:left w:w="28" w:type="dxa"/>
          <w:bottom w:w="28" w:type="dxa"/>
          <w:right w:w="28" w:type="dxa"/>
        </w:tblCellMar>
      </w:tblPr>
      <w:tblGrid>
        <w:gridCol w:w="6425"/>
        <w:gridCol w:w="1876"/>
      </w:tblGrid>
      <w:tr>
        <w:trPr/>
        <w:tc>
          <w:tcPr>
            <w:tcW w:w="642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6425" w:type="dxa"/>
            <w:tcBorders/>
            <w:tcMar>
              <w:top w:w="0" w:type="dxa"/>
              <w:left w:w="0" w:type="dxa"/>
              <w:bottom w:w="0" w:type="dxa"/>
              <w:right w:w="0" w:type="dxa"/>
            </w:tcMar>
            <w:vAlign w:val="center"/>
          </w:tcPr>
          <w:p>
            <w:pPr>
              <w:pStyle w:val="TableContents"/>
              <w:bidi w:val="0"/>
              <w:spacing w:before="172"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6425"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NVXAD : PERFORMANCE RIGHTS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21,565,395</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NVXAA : OPTION EXPIRING VARIOUS DATES EX VARIOUS PRICES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14,016,667</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NVXAM : SHARE RIGHTS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1,371,566</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NVXAL : CONVERTIBLE NOTES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45,221,586</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NVXAH : CONVERTIBLE DEBENTURES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35,000,000</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7"/>
              </w:rPr>
            </w:pPr>
            <w:r>
              <w:rPr>
                <w:rFonts w:ascii="Arial" w:hAnsi="Arial"/>
                <w:color w:val="000000"/>
                <w:sz w:val="17"/>
              </w:rPr>
              <w:t>6</w:t>
            </w:r>
            <w:r>
              <w:rPr>
                <w:rFonts w:ascii="Times New Roman" w:hAnsi="Times New Roman"/>
                <w:color w:val="000000"/>
                <w:sz w:val="17"/>
              </w:rPr>
              <w:t> </w:t>
            </w:r>
            <w:r>
              <w:rPr>
                <w:rFonts w:ascii="Arial" w:hAnsi="Arial"/>
                <w:color w:val="000000"/>
                <w:sz w:val="17"/>
              </w:rPr>
              <w:t>/ 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996</Words>
  <Characters>5297</Characters>
  <CharactersWithSpaces>6309</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