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6" w:lineRule="exact"/>
        <w:rPr>
          <w:sz w:val="24"/>
          <w:szCs w:val="24"/>
          <w:color w:val="auto"/>
        </w:rPr>
      </w:pPr>
    </w:p>
    <w:p>
      <w:pPr>
        <w:jc w:val="center"/>
        <w:ind w:left="1600"/>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For the month of May, 2026</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001-41208</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NOVONIX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Level 38</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71 Eagle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Brisbane, QLD 4000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66" w:lineRule="exact"/>
        <w:rPr>
          <w:sz w:val="24"/>
          <w:szCs w:val="24"/>
          <w:color w:val="auto"/>
        </w:rPr>
      </w:pPr>
    </w:p>
    <w:p>
      <w:pPr>
        <w:ind w:right="1619"/>
        <w:spacing w:after="0" w:line="259"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8" w:right="1440" w:bottom="1440" w:gutter="0" w:footer="0" w:header="0"/>
        </w:sectPr>
      </w:pPr>
    </w:p>
    <w:bookmarkStart w:id="1" w:name="page2"/>
    <w:bookmarkEnd w:id="1"/>
    <w:p>
      <w:pPr>
        <w:spacing w:after="0" w:line="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2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FF"/>
        </w:rPr>
        <w:t>Appendix 3G (Notification of issue, conversion or payment up of unquoted equity securities) dated May 06,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NOVONIX LIMITED</w:t>
      </w:r>
    </w:p>
    <w:p>
      <w:pPr>
        <w:spacing w:after="0" w:line="200" w:lineRule="exact"/>
        <w:rPr>
          <w:sz w:val="20"/>
          <w:szCs w:val="20"/>
          <w:color w:val="auto"/>
        </w:rPr>
      </w:pPr>
    </w:p>
    <w:p>
      <w:pPr>
        <w:spacing w:after="0" w:line="24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Robert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Robert Long</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3" w:name="page4"/>
    <w:bookmarkEnd w:id="3"/>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200660</wp:posOffset>
            </wp:positionV>
            <wp:extent cx="231140"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3G - Notification of issue, conversion or payment up of unquoted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7054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22"/>
          <w:szCs w:val="22"/>
          <w:color w:val="auto"/>
        </w:rPr>
        <w:t>EXHIBIT 99.1</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Announcement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1457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Entity name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NOVONIX LIMITED</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Date of this announcement</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Wednesday May 6, 2026</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The +securities the subject of this notification are:</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w:t>
      </w:r>
    </w:p>
    <w:p>
      <w:pPr>
        <w:spacing w:after="0" w:line="4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Total number of +securities to be issued/transferred</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0" w:type="dxa"/>
            <w:vAlign w:val="bottom"/>
            <w:tcBorders>
              <w:top w:val="single" w:sz="8" w:color="auto"/>
              <w:left w:val="single" w:sz="8" w:color="auto"/>
            </w:tcBorders>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504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 number of</w:t>
            </w:r>
          </w:p>
        </w:tc>
        <w:tc>
          <w:tcPr>
            <w:tcW w:w="1800" w:type="dxa"/>
            <w:vAlign w:val="bottom"/>
            <w:tcBorders>
              <w:top w:val="single" w:sz="8" w:color="auto"/>
              <w:right w:val="single" w:sz="8" w:color="auto"/>
            </w:tcBorders>
          </w:tcPr>
          <w:p>
            <w:pPr>
              <w:spacing w:after="0"/>
              <w:rPr>
                <w:sz w:val="19"/>
                <w:szCs w:val="19"/>
                <w:color w:val="auto"/>
              </w:rPr>
            </w:pPr>
          </w:p>
        </w:tc>
      </w:tr>
      <w:tr>
        <w:trPr>
          <w:trHeight w:val="189"/>
        </w:trPr>
        <w:tc>
          <w:tcPr>
            <w:tcW w:w="120" w:type="dxa"/>
            <w:vAlign w:val="bottom"/>
            <w:tcBorders>
              <w:left w:val="single" w:sz="8" w:color="auto"/>
            </w:tcBorders>
          </w:tcPr>
          <w:p>
            <w:pPr>
              <w:spacing w:after="0"/>
              <w:rPr>
                <w:sz w:val="16"/>
                <w:szCs w:val="16"/>
                <w:color w:val="auto"/>
              </w:rPr>
            </w:pPr>
          </w:p>
        </w:tc>
        <w:tc>
          <w:tcPr>
            <w:tcW w:w="2140" w:type="dxa"/>
            <w:vAlign w:val="bottom"/>
          </w:tcPr>
          <w:p>
            <w:pPr>
              <w:ind w:left="560"/>
              <w:spacing w:after="0"/>
              <w:rPr>
                <w:sz w:val="20"/>
                <w:szCs w:val="20"/>
                <w:color w:val="auto"/>
              </w:rPr>
            </w:pPr>
            <w:r>
              <w:rPr>
                <w:rFonts w:ascii="Arial" w:cs="Arial" w:eastAsia="Arial" w:hAnsi="Arial"/>
                <w:sz w:val="16"/>
                <w:szCs w:val="16"/>
                <w:b w:val="1"/>
                <w:bCs w:val="1"/>
                <w:color w:val="auto"/>
              </w:rPr>
              <w:t>ASX +security</w:t>
            </w:r>
          </w:p>
        </w:tc>
        <w:tc>
          <w:tcPr>
            <w:tcW w:w="5040" w:type="dxa"/>
            <w:vAlign w:val="bottom"/>
          </w:tcPr>
          <w:p>
            <w:pPr>
              <w:spacing w:after="0"/>
              <w:rPr>
                <w:sz w:val="16"/>
                <w:szCs w:val="16"/>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b w:val="1"/>
                <w:bCs w:val="1"/>
                <w:color w:val="auto"/>
              </w:rPr>
              <w:t>+securities to be</w:t>
            </w:r>
          </w:p>
        </w:tc>
        <w:tc>
          <w:tcPr>
            <w:tcW w:w="1800" w:type="dxa"/>
            <w:vAlign w:val="bottom"/>
            <w:tcBorders>
              <w:right w:val="single" w:sz="8" w:color="auto"/>
            </w:tcBorders>
          </w:tcPr>
          <w:p>
            <w:pPr>
              <w:spacing w:after="0"/>
              <w:rPr>
                <w:sz w:val="16"/>
                <w:szCs w:val="16"/>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2140" w:type="dxa"/>
            <w:vAlign w:val="bottom"/>
          </w:tcPr>
          <w:p>
            <w:pPr>
              <w:ind w:left="560"/>
              <w:spacing w:after="0"/>
              <w:rPr>
                <w:sz w:val="20"/>
                <w:szCs w:val="20"/>
                <w:color w:val="auto"/>
              </w:rPr>
            </w:pPr>
            <w:r>
              <w:rPr>
                <w:rFonts w:ascii="Arial" w:cs="Arial" w:eastAsia="Arial" w:hAnsi="Arial"/>
                <w:sz w:val="16"/>
                <w:szCs w:val="16"/>
                <w:b w:val="1"/>
                <w:bCs w:val="1"/>
                <w:color w:val="auto"/>
              </w:rPr>
              <w:t>code</w:t>
            </w:r>
          </w:p>
        </w:tc>
        <w:tc>
          <w:tcPr>
            <w:tcW w:w="5040" w:type="dxa"/>
            <w:vAlign w:val="bottom"/>
          </w:tcPr>
          <w:p>
            <w:pPr>
              <w:ind w:left="340"/>
              <w:spacing w:after="0"/>
              <w:rPr>
                <w:sz w:val="20"/>
                <w:szCs w:val="20"/>
                <w:color w:val="auto"/>
              </w:rPr>
            </w:pPr>
            <w:r>
              <w:rPr>
                <w:rFonts w:ascii="Arial" w:cs="Arial" w:eastAsia="Arial" w:hAnsi="Arial"/>
                <w:sz w:val="16"/>
                <w:szCs w:val="16"/>
                <w:b w:val="1"/>
                <w:bCs w:val="1"/>
                <w:color w:val="auto"/>
              </w:rPr>
              <w:t>Security description</w:t>
            </w:r>
          </w:p>
        </w:tc>
        <w:tc>
          <w:tcPr>
            <w:tcW w:w="3940" w:type="dxa"/>
            <w:vAlign w:val="bottom"/>
            <w:tcBorders>
              <w:right w:val="single" w:sz="8" w:color="auto"/>
            </w:tcBorders>
            <w:gridSpan w:val="2"/>
          </w:tcPr>
          <w:p>
            <w:pPr>
              <w:jc w:val="right"/>
              <w:ind w:right="981"/>
              <w:spacing w:after="0"/>
              <w:rPr>
                <w:sz w:val="20"/>
                <w:szCs w:val="20"/>
                <w:color w:val="auto"/>
              </w:rPr>
            </w:pPr>
            <w:r>
              <w:rPr>
                <w:rFonts w:ascii="Arial" w:cs="Arial" w:eastAsia="Arial" w:hAnsi="Arial"/>
                <w:sz w:val="16"/>
                <w:szCs w:val="16"/>
                <w:b w:val="1"/>
                <w:bCs w:val="1"/>
                <w:color w:val="auto"/>
              </w:rPr>
              <w:t>issued/transferred Issue date</w:t>
            </w:r>
          </w:p>
        </w:tc>
      </w:tr>
      <w:tr>
        <w:trPr>
          <w:trHeight w:val="452"/>
        </w:trPr>
        <w:tc>
          <w:tcPr>
            <w:tcW w:w="120" w:type="dxa"/>
            <w:vAlign w:val="bottom"/>
            <w:tcBorders>
              <w:left w:val="single" w:sz="8" w:color="auto"/>
            </w:tcBorders>
          </w:tcPr>
          <w:p>
            <w:pPr>
              <w:spacing w:after="0"/>
              <w:rPr>
                <w:sz w:val="24"/>
                <w:szCs w:val="24"/>
                <w:color w:val="auto"/>
              </w:rPr>
            </w:pPr>
          </w:p>
        </w:tc>
        <w:tc>
          <w:tcPr>
            <w:tcW w:w="2140" w:type="dxa"/>
            <w:vAlign w:val="bottom"/>
          </w:tcPr>
          <w:p>
            <w:pPr>
              <w:ind w:left="560"/>
              <w:spacing w:after="0"/>
              <w:rPr>
                <w:sz w:val="20"/>
                <w:szCs w:val="20"/>
                <w:color w:val="auto"/>
              </w:rPr>
            </w:pPr>
            <w:r>
              <w:rPr>
                <w:rFonts w:ascii="Arial" w:cs="Arial" w:eastAsia="Arial" w:hAnsi="Arial"/>
                <w:sz w:val="16"/>
                <w:szCs w:val="16"/>
                <w:color w:val="auto"/>
              </w:rPr>
              <w:t>New class - code</w:t>
            </w:r>
          </w:p>
        </w:tc>
        <w:tc>
          <w:tcPr>
            <w:tcW w:w="5040" w:type="dxa"/>
            <w:vAlign w:val="bottom"/>
          </w:tcPr>
          <w:p>
            <w:pPr>
              <w:ind w:left="340"/>
              <w:spacing w:after="0"/>
              <w:rPr>
                <w:sz w:val="20"/>
                <w:szCs w:val="20"/>
                <w:color w:val="auto"/>
              </w:rPr>
            </w:pPr>
            <w:r>
              <w:rPr>
                <w:rFonts w:ascii="Arial" w:cs="Arial" w:eastAsia="Arial" w:hAnsi="Arial"/>
                <w:sz w:val="16"/>
                <w:szCs w:val="16"/>
                <w:color w:val="auto"/>
              </w:rPr>
              <w:t>Share Rights</w:t>
            </w: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1,371,566</w:t>
            </w:r>
          </w:p>
        </w:tc>
        <w:tc>
          <w:tcPr>
            <w:tcW w:w="1800" w:type="dxa"/>
            <w:vAlign w:val="bottom"/>
            <w:tcBorders>
              <w:right w:val="single" w:sz="8" w:color="auto"/>
            </w:tcBorders>
          </w:tcPr>
          <w:p>
            <w:pPr>
              <w:jc w:val="right"/>
              <w:ind w:right="781"/>
              <w:spacing w:after="0"/>
              <w:rPr>
                <w:sz w:val="20"/>
                <w:szCs w:val="20"/>
                <w:color w:val="auto"/>
              </w:rPr>
            </w:pPr>
            <w:r>
              <w:rPr>
                <w:rFonts w:ascii="Arial" w:cs="Arial" w:eastAsia="Arial" w:hAnsi="Arial"/>
                <w:sz w:val="16"/>
                <w:szCs w:val="16"/>
                <w:color w:val="auto"/>
              </w:rPr>
              <w:t>06/05/2026</w:t>
            </w:r>
          </w:p>
        </w:tc>
      </w:tr>
      <w:tr>
        <w:trPr>
          <w:trHeight w:val="215"/>
        </w:trPr>
        <w:tc>
          <w:tcPr>
            <w:tcW w:w="120" w:type="dxa"/>
            <w:vAlign w:val="bottom"/>
            <w:tcBorders>
              <w:left w:val="single" w:sz="8" w:color="auto"/>
            </w:tcBorders>
          </w:tcPr>
          <w:p>
            <w:pPr>
              <w:spacing w:after="0"/>
              <w:rPr>
                <w:sz w:val="18"/>
                <w:szCs w:val="18"/>
                <w:color w:val="auto"/>
              </w:rPr>
            </w:pPr>
          </w:p>
        </w:tc>
        <w:tc>
          <w:tcPr>
            <w:tcW w:w="2140" w:type="dxa"/>
            <w:vAlign w:val="bottom"/>
          </w:tcPr>
          <w:p>
            <w:pPr>
              <w:ind w:left="560"/>
              <w:spacing w:after="0"/>
              <w:rPr>
                <w:sz w:val="20"/>
                <w:szCs w:val="20"/>
                <w:color w:val="auto"/>
              </w:rPr>
            </w:pPr>
            <w:r>
              <w:rPr>
                <w:rFonts w:ascii="Arial" w:cs="Arial" w:eastAsia="Arial" w:hAnsi="Arial"/>
                <w:sz w:val="16"/>
                <w:szCs w:val="16"/>
                <w:color w:val="auto"/>
              </w:rPr>
              <w:t>to be confirmed</w:t>
            </w:r>
          </w:p>
        </w:tc>
        <w:tc>
          <w:tcPr>
            <w:tcW w:w="50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191"/>
        </w:trPr>
        <w:tc>
          <w:tcPr>
            <w:tcW w:w="120" w:type="dxa"/>
            <w:vAlign w:val="bottom"/>
            <w:tcBorders>
              <w:left w:val="single" w:sz="8" w:color="auto"/>
              <w:bottom w:val="single" w:sz="8" w:color="auto"/>
            </w:tcBorders>
          </w:tcPr>
          <w:p>
            <w:pPr>
              <w:spacing w:after="0"/>
              <w:rPr>
                <w:sz w:val="16"/>
                <w:szCs w:val="16"/>
                <w:color w:val="auto"/>
              </w:rPr>
            </w:pPr>
          </w:p>
        </w:tc>
        <w:tc>
          <w:tcPr>
            <w:tcW w:w="7180" w:type="dxa"/>
            <w:vAlign w:val="bottom"/>
            <w:tcBorders>
              <w:bottom w:val="single" w:sz="8" w:color="auto"/>
            </w:tcBorders>
            <w:gridSpan w:val="2"/>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spacing w:after="0"/>
              <w:rPr>
                <w:sz w:val="16"/>
                <w:szCs w:val="16"/>
                <w:color w:val="auto"/>
              </w:rPr>
            </w:pPr>
          </w:p>
        </w:tc>
      </w:tr>
      <w:tr>
        <w:trPr>
          <w:trHeight w:val="234"/>
        </w:trPr>
        <w:tc>
          <w:tcPr>
            <w:tcW w:w="120" w:type="dxa"/>
            <w:vAlign w:val="bottom"/>
          </w:tcPr>
          <w:p>
            <w:pPr>
              <w:spacing w:after="0"/>
              <w:rPr>
                <w:sz w:val="20"/>
                <w:szCs w:val="20"/>
                <w:color w:val="auto"/>
              </w:rPr>
            </w:pPr>
          </w:p>
        </w:tc>
        <w:tc>
          <w:tcPr>
            <w:tcW w:w="7180" w:type="dxa"/>
            <w:vAlign w:val="bottom"/>
            <w:gridSpan w:val="2"/>
          </w:tcPr>
          <w:p>
            <w:pPr>
              <w:ind w:left="480"/>
              <w:spacing w:after="0"/>
              <w:rPr>
                <w:sz w:val="20"/>
                <w:szCs w:val="20"/>
                <w:color w:val="auto"/>
              </w:rPr>
            </w:pPr>
            <w:r>
              <w:rPr>
                <w:rFonts w:ascii="Arial" w:cs="Arial" w:eastAsia="Arial" w:hAnsi="Arial"/>
                <w:sz w:val="16"/>
                <w:szCs w:val="16"/>
                <w:color w:val="auto"/>
              </w:rPr>
              <w:t>Refer to next page for full details of the announcement</w:t>
            </w:r>
          </w:p>
        </w:tc>
        <w:tc>
          <w:tcPr>
            <w:tcW w:w="2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15"/>
        </w:trPr>
        <w:tc>
          <w:tcPr>
            <w:tcW w:w="120" w:type="dxa"/>
            <w:vAlign w:val="bottom"/>
          </w:tcPr>
          <w:p>
            <w:pPr>
              <w:spacing w:after="0"/>
              <w:rPr>
                <w:sz w:val="24"/>
                <w:szCs w:val="24"/>
                <w:color w:val="auto"/>
              </w:rPr>
            </w:pPr>
          </w:p>
        </w:tc>
        <w:tc>
          <w:tcPr>
            <w:tcW w:w="7180" w:type="dxa"/>
            <w:vAlign w:val="bottom"/>
            <w:tcBorders>
              <w:bottom w:val="single" w:sz="8" w:color="7F7F7F"/>
            </w:tcBorders>
            <w:gridSpan w:val="2"/>
          </w:tcPr>
          <w:p>
            <w:pPr>
              <w:spacing w:after="0"/>
              <w:rPr>
                <w:sz w:val="24"/>
                <w:szCs w:val="24"/>
                <w:color w:val="auto"/>
              </w:rPr>
            </w:pPr>
          </w:p>
        </w:tc>
        <w:tc>
          <w:tcPr>
            <w:tcW w:w="2140" w:type="dxa"/>
            <w:vAlign w:val="bottom"/>
            <w:tcBorders>
              <w:bottom w:val="single" w:sz="8" w:color="7F7F7F"/>
            </w:tcBorders>
          </w:tcPr>
          <w:p>
            <w:pPr>
              <w:spacing w:after="0"/>
              <w:rPr>
                <w:sz w:val="24"/>
                <w:szCs w:val="24"/>
                <w:color w:val="auto"/>
              </w:rPr>
            </w:pPr>
          </w:p>
        </w:tc>
        <w:tc>
          <w:tcPr>
            <w:tcW w:w="1800" w:type="dxa"/>
            <w:vAlign w:val="bottom"/>
            <w:tcBorders>
              <w:bottom w:val="single" w:sz="8" w:color="7F7F7F"/>
            </w:tcBorders>
          </w:tcPr>
          <w:p>
            <w:pPr>
              <w:spacing w:after="0"/>
              <w:rPr>
                <w:sz w:val="24"/>
                <w:szCs w:val="24"/>
                <w:color w:val="auto"/>
              </w:rPr>
            </w:pPr>
          </w:p>
        </w:tc>
      </w:tr>
      <w:tr>
        <w:trPr>
          <w:trHeight w:val="302"/>
        </w:trPr>
        <w:tc>
          <w:tcPr>
            <w:tcW w:w="120" w:type="dxa"/>
            <w:vAlign w:val="bottom"/>
          </w:tcPr>
          <w:p>
            <w:pPr>
              <w:spacing w:after="0"/>
              <w:rPr>
                <w:sz w:val="24"/>
                <w:szCs w:val="24"/>
                <w:color w:val="auto"/>
              </w:rPr>
            </w:pPr>
          </w:p>
        </w:tc>
        <w:tc>
          <w:tcPr>
            <w:tcW w:w="7180" w:type="dxa"/>
            <w:vAlign w:val="bottom"/>
            <w:gridSpan w:val="2"/>
          </w:tcPr>
          <w:p>
            <w:pPr>
              <w:ind w:left="20"/>
              <w:spacing w:after="0"/>
              <w:rPr>
                <w:sz w:val="20"/>
                <w:szCs w:val="20"/>
                <w:color w:val="auto"/>
              </w:rPr>
            </w:pPr>
            <w:r>
              <w:rPr>
                <w:rFonts w:ascii="Arial" w:cs="Arial" w:eastAsia="Arial" w:hAnsi="Arial"/>
                <w:sz w:val="16"/>
                <w:szCs w:val="16"/>
                <w:color w:val="auto"/>
              </w:rPr>
              <w:t>Appendix 3G - Notification of issue, conversion or payment up of unquoted equity securities</w:t>
            </w:r>
          </w:p>
        </w:tc>
        <w:tc>
          <w:tcPr>
            <w:tcW w:w="21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 / 6</w:t>
            </w:r>
          </w:p>
        </w:tc>
      </w:tr>
      <w:tr>
        <w:trPr>
          <w:trHeight w:val="508"/>
        </w:trPr>
        <w:tc>
          <w:tcPr>
            <w:tcW w:w="1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 w:name="page5"/>
    <w:bookmarkEnd w:id="4"/>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200660</wp:posOffset>
            </wp:positionV>
            <wp:extent cx="23114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3G - Notification of issue, conversion or payment up of unquoted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7054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1 - Entity and announcement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2263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1.1 Name of entity</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NOVONIX LIMITED</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(the entity named above) give notice of the issue, conversion or payment up of the following unquoted +securities.</w:t>
      </w:r>
    </w:p>
    <w:p>
      <w:pPr>
        <w:sectPr>
          <w:pgSz w:w="11900" w:h="16838" w:orient="portrait"/>
          <w:cols w:equalWidth="0" w:num="1">
            <w:col w:w="11240"/>
          </w:cols>
          <w:pgMar w:left="320" w:top="490" w:right="339" w:bottom="1440" w:gutter="0" w:footer="0" w:header="0"/>
        </w:sectPr>
      </w:pP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1.2 Registered number type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number</w:t>
      </w:r>
    </w:p>
    <w:p>
      <w:pPr>
        <w:spacing w:after="0" w:line="100" w:lineRule="exact"/>
        <w:rPr>
          <w:sz w:val="20"/>
          <w:szCs w:val="20"/>
          <w:color w:val="auto"/>
        </w:rPr>
      </w:pPr>
    </w:p>
    <w:p>
      <w:pPr>
        <w:sectPr>
          <w:pgSz w:w="11900" w:h="16838" w:orient="portrait"/>
          <w:cols w:equalWidth="0" w:num="2">
            <w:col w:w="5160" w:space="720"/>
            <w:col w:w="5360"/>
          </w:cols>
          <w:pgMar w:left="320" w:top="490" w:right="339" w:bottom="1440" w:gutter="0" w:footer="0" w:header="0"/>
          <w:type w:val="continuous"/>
        </w:sectPr>
      </w:pPr>
    </w:p>
    <w:p>
      <w:pPr>
        <w:ind w:left="600"/>
        <w:spacing w:after="0"/>
        <w:rPr>
          <w:sz w:val="20"/>
          <w:szCs w:val="20"/>
          <w:color w:val="auto"/>
        </w:rPr>
      </w:pPr>
      <w:r>
        <w:rPr>
          <w:rFonts w:ascii="Arial" w:cs="Arial" w:eastAsia="Arial" w:hAnsi="Arial"/>
          <w:sz w:val="15"/>
          <w:szCs w:val="15"/>
          <w:color w:val="auto"/>
        </w:rPr>
        <w:t>ABN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54157690830</w:t>
      </w:r>
    </w:p>
    <w:p>
      <w:pPr>
        <w:spacing w:after="0" w:line="200" w:lineRule="exact"/>
        <w:rPr>
          <w:sz w:val="20"/>
          <w:szCs w:val="20"/>
          <w:color w:val="auto"/>
        </w:rPr>
      </w:pPr>
    </w:p>
    <w:p>
      <w:pPr>
        <w:sectPr>
          <w:pgSz w:w="11900" w:h="16838" w:orient="portrait"/>
          <w:cols w:equalWidth="0" w:num="2">
            <w:col w:w="5160" w:space="720"/>
            <w:col w:w="5360"/>
          </w:cols>
          <w:pgMar w:left="320" w:top="490" w:right="339" w:bottom="1440" w:gutter="0" w:footer="0" w:header="0"/>
          <w:type w:val="continuous"/>
        </w:sectPr>
      </w:pPr>
    </w:p>
    <w:p>
      <w:pPr>
        <w:spacing w:after="0" w:line="26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1.3 ASX issuer code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NVX</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1.4 The announcement is</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New announcement</w:t>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1.5 Date of this announcement</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6/5/2026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346710</wp:posOffset>
            </wp:positionV>
            <wp:extent cx="7054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0" w:type="dxa"/>
            <w:vAlign w:val="bottom"/>
          </w:tcPr>
          <w:p>
            <w:pPr>
              <w:ind w:left="140"/>
              <w:spacing w:after="0"/>
              <w:rPr>
                <w:sz w:val="20"/>
                <w:szCs w:val="20"/>
                <w:color w:val="auto"/>
              </w:rPr>
            </w:pPr>
            <w:r>
              <w:rPr>
                <w:rFonts w:ascii="Arial" w:cs="Arial" w:eastAsia="Arial" w:hAnsi="Arial"/>
                <w:sz w:val="16"/>
                <w:szCs w:val="16"/>
                <w:color w:val="auto"/>
              </w:rPr>
              <w:t>Appendix 3G - Notification of issue, conversion or payment up of unquoted equity securities</w:t>
            </w:r>
          </w:p>
        </w:tc>
        <w:tc>
          <w:tcPr>
            <w:tcW w:w="2440" w:type="dxa"/>
            <w:vAlign w:val="bottom"/>
          </w:tcPr>
          <w:p>
            <w:pPr>
              <w:jc w:val="right"/>
              <w:spacing w:after="0"/>
              <w:rPr>
                <w:sz w:val="20"/>
                <w:szCs w:val="20"/>
                <w:color w:val="auto"/>
              </w:rPr>
            </w:pPr>
            <w:r>
              <w:rPr>
                <w:rFonts w:ascii="Arial" w:cs="Arial" w:eastAsia="Arial" w:hAnsi="Arial"/>
                <w:sz w:val="15"/>
                <w:szCs w:val="15"/>
                <w:color w:val="auto"/>
              </w:rPr>
              <w:t>2 / 6</w:t>
            </w:r>
          </w:p>
        </w:tc>
      </w:tr>
      <w:tr>
        <w:trPr>
          <w:trHeight w:val="522"/>
        </w:trPr>
        <w:tc>
          <w:tcPr>
            <w:tcW w:w="88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5" w:name="page6"/>
    <w:bookmarkEnd w:id="5"/>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200025</wp:posOffset>
            </wp:positionV>
            <wp:extent cx="23114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3G - Notification of issue, conversion or payment up of unquoted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70548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2 - Issue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12084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2.1 The +securities the subject of this notification are:</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w:t>
      </w:r>
    </w:p>
    <w:p>
      <w:pPr>
        <w:spacing w:after="0" w:line="4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35560</wp:posOffset>
            </wp:positionV>
            <wp:extent cx="6707505" cy="210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07505" cy="210185"/>
                    </a:xfrm>
                    <a:prstGeom prst="rect">
                      <a:avLst/>
                    </a:prstGeom>
                    <a:noFill/>
                  </pic:spPr>
                </pic:pic>
              </a:graphicData>
            </a:graphic>
          </wp:anchor>
        </w:drawing>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Issue of shares rights to Directors following shareholder approval at the AGM held on 15 April 2026.</w:t>
      </w:r>
    </w:p>
    <w:p>
      <w:pPr>
        <w:spacing w:after="0" w:line="37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2.2a This notification is given in relation to an issue of +securities in a class which is not quoted on ASX and which:</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does not have an existing ASX security code ("new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336550</wp:posOffset>
            </wp:positionV>
            <wp:extent cx="70548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0" w:type="dxa"/>
            <w:vAlign w:val="bottom"/>
          </w:tcPr>
          <w:p>
            <w:pPr>
              <w:ind w:left="140"/>
              <w:spacing w:after="0"/>
              <w:rPr>
                <w:sz w:val="20"/>
                <w:szCs w:val="20"/>
                <w:color w:val="auto"/>
              </w:rPr>
            </w:pPr>
            <w:r>
              <w:rPr>
                <w:rFonts w:ascii="Arial" w:cs="Arial" w:eastAsia="Arial" w:hAnsi="Arial"/>
                <w:sz w:val="16"/>
                <w:szCs w:val="16"/>
                <w:color w:val="auto"/>
              </w:rPr>
              <w:t>Appendix 3G - Notification of issue, conversion or payment up of unquoted equity securities</w:t>
            </w:r>
          </w:p>
        </w:tc>
        <w:tc>
          <w:tcPr>
            <w:tcW w:w="2440" w:type="dxa"/>
            <w:vAlign w:val="bottom"/>
          </w:tcPr>
          <w:p>
            <w:pPr>
              <w:jc w:val="right"/>
              <w:spacing w:after="0"/>
              <w:rPr>
                <w:sz w:val="20"/>
                <w:szCs w:val="20"/>
                <w:color w:val="auto"/>
              </w:rPr>
            </w:pPr>
            <w:r>
              <w:rPr>
                <w:rFonts w:ascii="Arial" w:cs="Arial" w:eastAsia="Arial" w:hAnsi="Arial"/>
                <w:sz w:val="15"/>
                <w:szCs w:val="15"/>
                <w:color w:val="auto"/>
              </w:rPr>
              <w:t>3 / 6</w:t>
            </w:r>
          </w:p>
        </w:tc>
      </w:tr>
      <w:tr>
        <w:trPr>
          <w:trHeight w:val="522"/>
        </w:trPr>
        <w:tc>
          <w:tcPr>
            <w:tcW w:w="88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 w:name="page7"/>
    <w:bookmarkEnd w:id="6"/>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200025</wp:posOffset>
            </wp:positionV>
            <wp:extent cx="23114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3G - Notification of issue, conversion or payment up of unquoted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70548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3C - number and type of +securities the subject of this notification (new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44488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4881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650" w:type="dxa"/>
        <w:tblCellMar>
          <w:top w:w="0" w:type="dxa"/>
          <w:left w:w="0" w:type="dxa"/>
          <w:bottom w:w="0" w:type="dxa"/>
          <w:right w:w="0" w:type="dxa"/>
        </w:tblCellMar>
      </w:tblPr>
      <w:tr>
        <w:trPr>
          <w:trHeight w:val="223"/>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New +securities</w:t>
            </w:r>
          </w:p>
        </w:tc>
        <w:tc>
          <w:tcPr>
            <w:tcW w:w="10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634"/>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ASX +security code</w:t>
            </w:r>
          </w:p>
        </w:tc>
        <w:tc>
          <w:tcPr>
            <w:tcW w:w="52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+Security description</w:t>
            </w:r>
          </w:p>
        </w:tc>
      </w:tr>
      <w:tr>
        <w:trPr>
          <w:trHeight w:val="35"/>
        </w:trPr>
        <w:tc>
          <w:tcPr>
            <w:tcW w:w="5240" w:type="dxa"/>
            <w:vAlign w:val="bottom"/>
            <w:tcBorders>
              <w:bottom w:val="single" w:sz="8" w:color="999999"/>
            </w:tcBorders>
          </w:tcPr>
          <w:p>
            <w:pPr>
              <w:spacing w:after="0"/>
              <w:rPr>
                <w:sz w:val="3"/>
                <w:szCs w:val="3"/>
                <w:color w:val="auto"/>
              </w:rPr>
            </w:pPr>
          </w:p>
        </w:tc>
        <w:tc>
          <w:tcPr>
            <w:tcW w:w="100" w:type="dxa"/>
            <w:vAlign w:val="bottom"/>
          </w:tcPr>
          <w:p>
            <w:pPr>
              <w:spacing w:after="0"/>
              <w:rPr>
                <w:sz w:val="3"/>
                <w:szCs w:val="3"/>
                <w:color w:val="auto"/>
              </w:rPr>
            </w:pPr>
          </w:p>
        </w:tc>
        <w:tc>
          <w:tcPr>
            <w:tcW w:w="5120" w:type="dxa"/>
            <w:vAlign w:val="bottom"/>
            <w:tcBorders>
              <w:bottom w:val="single" w:sz="8" w:color="999999"/>
            </w:tcBorders>
          </w:tcPr>
          <w:p>
            <w:pPr>
              <w:spacing w:after="0"/>
              <w:rPr>
                <w:sz w:val="3"/>
                <w:szCs w:val="3"/>
                <w:color w:val="auto"/>
              </w:rPr>
            </w:pPr>
          </w:p>
        </w:tc>
      </w:tr>
      <w:tr>
        <w:trPr>
          <w:trHeight w:val="248"/>
        </w:trPr>
        <w:tc>
          <w:tcPr>
            <w:tcW w:w="5240" w:type="dxa"/>
            <w:vAlign w:val="bottom"/>
            <w:tcBorders>
              <w:left w:val="single" w:sz="8" w:color="999999"/>
              <w:right w:val="single" w:sz="8" w:color="999999"/>
            </w:tcBorders>
          </w:tcPr>
          <w:p>
            <w:pPr>
              <w:ind w:left="60"/>
              <w:spacing w:after="0"/>
              <w:rPr>
                <w:sz w:val="20"/>
                <w:szCs w:val="20"/>
                <w:color w:val="auto"/>
              </w:rPr>
            </w:pPr>
            <w:r>
              <w:rPr>
                <w:rFonts w:ascii="Arial" w:cs="Arial" w:eastAsia="Arial" w:hAnsi="Arial"/>
                <w:sz w:val="16"/>
                <w:szCs w:val="16"/>
                <w:color w:val="auto"/>
              </w:rPr>
              <w:t>New class - code to be confirmed</w:t>
            </w:r>
          </w:p>
        </w:tc>
        <w:tc>
          <w:tcPr>
            <w:tcW w:w="100" w:type="dxa"/>
            <w:vAlign w:val="bottom"/>
          </w:tcPr>
          <w:p>
            <w:pPr>
              <w:spacing w:after="0"/>
              <w:rPr>
                <w:sz w:val="21"/>
                <w:szCs w:val="21"/>
                <w:color w:val="auto"/>
              </w:rPr>
            </w:pPr>
          </w:p>
        </w:tc>
        <w:tc>
          <w:tcPr>
            <w:tcW w:w="5120" w:type="dxa"/>
            <w:vAlign w:val="bottom"/>
            <w:tcBorders>
              <w:right w:val="single" w:sz="8" w:color="999999"/>
            </w:tcBorders>
          </w:tcPr>
          <w:p>
            <w:pPr>
              <w:ind w:left="40"/>
              <w:spacing w:after="0"/>
              <w:rPr>
                <w:sz w:val="20"/>
                <w:szCs w:val="20"/>
                <w:color w:val="auto"/>
              </w:rPr>
            </w:pPr>
            <w:r>
              <w:rPr>
                <w:rFonts w:ascii="Arial" w:cs="Arial" w:eastAsia="Arial" w:hAnsi="Arial"/>
                <w:sz w:val="16"/>
                <w:szCs w:val="16"/>
                <w:color w:val="auto"/>
              </w:rPr>
              <w:t>Share Rights</w:t>
            </w:r>
          </w:p>
        </w:tc>
      </w:tr>
      <w:tr>
        <w:trPr>
          <w:trHeight w:val="43"/>
        </w:trPr>
        <w:tc>
          <w:tcPr>
            <w:tcW w:w="5240" w:type="dxa"/>
            <w:vAlign w:val="bottom"/>
            <w:tcBorders>
              <w:left w:val="single" w:sz="8" w:color="999999"/>
              <w:bottom w:val="single" w:sz="8" w:color="999999"/>
              <w:right w:val="single" w:sz="8" w:color="999999"/>
            </w:tcBorders>
          </w:tcPr>
          <w:p>
            <w:pPr>
              <w:spacing w:after="0"/>
              <w:rPr>
                <w:sz w:val="3"/>
                <w:szCs w:val="3"/>
                <w:color w:val="auto"/>
              </w:rPr>
            </w:pPr>
          </w:p>
        </w:tc>
        <w:tc>
          <w:tcPr>
            <w:tcW w:w="100" w:type="dxa"/>
            <w:vAlign w:val="bottom"/>
          </w:tcPr>
          <w:p>
            <w:pPr>
              <w:spacing w:after="0"/>
              <w:rPr>
                <w:sz w:val="3"/>
                <w:szCs w:val="3"/>
                <w:color w:val="auto"/>
              </w:rPr>
            </w:pPr>
          </w:p>
        </w:tc>
        <w:tc>
          <w:tcPr>
            <w:tcW w:w="5120" w:type="dxa"/>
            <w:vAlign w:val="bottom"/>
            <w:tcBorders>
              <w:bottom w:val="single" w:sz="8" w:color="999999"/>
              <w:right w:val="single" w:sz="8" w:color="999999"/>
            </w:tcBorders>
          </w:tcPr>
          <w:p>
            <w:pPr>
              <w:spacing w:after="0"/>
              <w:rPr>
                <w:sz w:val="3"/>
                <w:szCs w:val="3"/>
                <w:color w:val="auto"/>
              </w:rPr>
            </w:pPr>
          </w:p>
        </w:tc>
      </w:tr>
      <w:tr>
        <w:trPr>
          <w:trHeight w:val="364"/>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+Security type</w:t>
            </w:r>
          </w:p>
        </w:tc>
        <w:tc>
          <w:tcPr>
            <w:tcW w:w="5220" w:type="dxa"/>
            <w:vAlign w:val="bottom"/>
            <w:gridSpan w:val="2"/>
          </w:tcPr>
          <w:p>
            <w:pPr>
              <w:spacing w:after="0"/>
              <w:rPr>
                <w:sz w:val="20"/>
                <w:szCs w:val="20"/>
                <w:color w:val="auto"/>
              </w:rPr>
            </w:pPr>
            <w:r>
              <w:rPr>
                <w:rFonts w:ascii="Arial" w:cs="Arial" w:eastAsia="Arial" w:hAnsi="Arial"/>
                <w:sz w:val="16"/>
                <w:szCs w:val="16"/>
                <w:b w:val="1"/>
                <w:bCs w:val="1"/>
                <w:color w:val="auto"/>
              </w:rPr>
              <w:t>ISIN code</w:t>
            </w:r>
          </w:p>
        </w:tc>
      </w:tr>
      <w:tr>
        <w:trPr>
          <w:trHeight w:val="275"/>
        </w:trPr>
        <w:tc>
          <w:tcPr>
            <w:tcW w:w="5240" w:type="dxa"/>
            <w:vAlign w:val="bottom"/>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23"/>
                <w:szCs w:val="23"/>
                <w:color w:val="auto"/>
              </w:rPr>
            </w:pPr>
          </w:p>
        </w:tc>
        <w:tc>
          <w:tcPr>
            <w:tcW w:w="5120" w:type="dxa"/>
            <w:vAlign w:val="bottom"/>
          </w:tcPr>
          <w:p>
            <w:pPr>
              <w:spacing w:after="0"/>
              <w:rPr>
                <w:sz w:val="23"/>
                <w:szCs w:val="23"/>
                <w:color w:val="auto"/>
              </w:rPr>
            </w:pPr>
          </w:p>
        </w:tc>
      </w:tr>
      <w:tr>
        <w:trPr>
          <w:trHeight w:val="670"/>
        </w:trPr>
        <w:tc>
          <w:tcPr>
            <w:tcW w:w="5240" w:type="dxa"/>
            <w:vAlign w:val="bottom"/>
          </w:tcPr>
          <w:p>
            <w:pPr>
              <w:spacing w:after="0"/>
              <w:rPr>
                <w:sz w:val="20"/>
                <w:szCs w:val="20"/>
                <w:color w:val="auto"/>
              </w:rPr>
            </w:pPr>
            <w:r>
              <w:rPr>
                <w:rFonts w:ascii="Arial" w:cs="Arial" w:eastAsia="Arial" w:hAnsi="Arial"/>
                <w:sz w:val="16"/>
                <w:szCs w:val="16"/>
                <w:b w:val="1"/>
                <w:bCs w:val="1"/>
                <w:color w:val="auto"/>
              </w:rPr>
              <w:t>Date the +securities the subject of this notification were issued</w:t>
            </w:r>
          </w:p>
        </w:tc>
        <w:tc>
          <w:tcPr>
            <w:tcW w:w="10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75"/>
        </w:trPr>
        <w:tc>
          <w:tcPr>
            <w:tcW w:w="5240" w:type="dxa"/>
            <w:vAlign w:val="bottom"/>
          </w:tcPr>
          <w:p>
            <w:pPr>
              <w:spacing w:after="0"/>
              <w:rPr>
                <w:sz w:val="20"/>
                <w:szCs w:val="20"/>
                <w:color w:val="auto"/>
              </w:rPr>
            </w:pPr>
            <w:r>
              <w:rPr>
                <w:rFonts w:ascii="Arial" w:cs="Arial" w:eastAsia="Arial" w:hAnsi="Arial"/>
                <w:sz w:val="16"/>
                <w:szCs w:val="16"/>
                <w:color w:val="auto"/>
              </w:rPr>
              <w:t>6/5/2026</w:t>
            </w:r>
          </w:p>
        </w:tc>
        <w:tc>
          <w:tcPr>
            <w:tcW w:w="100" w:type="dxa"/>
            <w:vAlign w:val="bottom"/>
          </w:tcPr>
          <w:p>
            <w:pPr>
              <w:spacing w:after="0"/>
              <w:rPr>
                <w:sz w:val="23"/>
                <w:szCs w:val="23"/>
                <w:color w:val="auto"/>
              </w:rPr>
            </w:pPr>
          </w:p>
        </w:tc>
        <w:tc>
          <w:tcPr>
            <w:tcW w:w="51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-1219200</wp:posOffset>
            </wp:positionV>
            <wp:extent cx="3365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222885"/>
                    </a:xfrm>
                    <a:prstGeom prst="rect">
                      <a:avLst/>
                    </a:prstGeom>
                    <a:noFill/>
                  </pic:spPr>
                </pic:pic>
              </a:graphicData>
            </a:graphic>
          </wp:anchor>
        </w:drawing>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Will all the +securities issued in this class rank equally in all respects from their issue date?</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Yes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Please provide a URL link for a document lodged with ASX setting out the material terms of the +securities being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35560</wp:posOffset>
            </wp:positionV>
            <wp:extent cx="6630670" cy="227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30670" cy="22733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https://cdn-api.markitdigital.com/apiman-gateway/ASX/asx-research/1.0/file/2924-03068742-2A1660572&amp;v=undefined</w:t>
      </w:r>
    </w:p>
    <w:p>
      <w:pPr>
        <w:spacing w:after="0" w:line="35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Any other information the entity wishes to provide about the +securities the subject of this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35560</wp:posOffset>
            </wp:positionV>
            <wp:extent cx="6630670" cy="209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30670" cy="2095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60" w:right="540"/>
        <w:spacing w:after="0" w:line="296" w:lineRule="auto"/>
        <w:rPr>
          <w:sz w:val="20"/>
          <w:szCs w:val="20"/>
          <w:color w:val="auto"/>
        </w:rPr>
      </w:pPr>
      <w:r>
        <w:rPr>
          <w:rFonts w:ascii="Arial" w:cs="Arial" w:eastAsia="Arial" w:hAnsi="Arial"/>
          <w:sz w:val="16"/>
          <w:szCs w:val="16"/>
          <w:b w:val="1"/>
          <w:bCs w:val="1"/>
          <w:color w:val="auto"/>
        </w:rPr>
        <w:t>Please provide any further information needed to understand the circumstances in which you are notifying the issue of these +securities to ASX, including why the issue of the +securities has not been previously announced to the market in an Appendix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-14605</wp:posOffset>
            </wp:positionV>
            <wp:extent cx="6630670" cy="330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30670" cy="330200"/>
                    </a:xfrm>
                    <a:prstGeom prst="rect">
                      <a:avLst/>
                    </a:prstGeom>
                    <a:noFill/>
                  </pic:spPr>
                </pic:pic>
              </a:graphicData>
            </a:graphic>
          </wp:anchor>
        </w:drawing>
      </w:r>
    </w:p>
    <w:p>
      <w:pPr>
        <w:spacing w:after="0" w:line="12" w:lineRule="exact"/>
        <w:rPr>
          <w:sz w:val="20"/>
          <w:szCs w:val="20"/>
          <w:color w:val="auto"/>
        </w:rPr>
      </w:pPr>
    </w:p>
    <w:p>
      <w:pPr>
        <w:ind w:left="720" w:right="760"/>
        <w:spacing w:after="0" w:line="286" w:lineRule="auto"/>
        <w:rPr>
          <w:sz w:val="20"/>
          <w:szCs w:val="20"/>
          <w:color w:val="auto"/>
        </w:rPr>
      </w:pPr>
      <w:r>
        <w:rPr>
          <w:rFonts w:ascii="Arial" w:cs="Arial" w:eastAsia="Arial" w:hAnsi="Arial"/>
          <w:sz w:val="16"/>
          <w:szCs w:val="16"/>
          <w:color w:val="auto"/>
        </w:rPr>
        <w:t>The +securities the subject of this notice comprise share rights issued following shareholder approval obtained at the Company's Annual General Meeting.</w:t>
      </w:r>
    </w:p>
    <w:p>
      <w:pPr>
        <w:spacing w:after="0" w:line="38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Issue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106680</wp:posOffset>
            </wp:positionV>
            <wp:extent cx="70294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Number of +securities</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1,371,566</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Were the +securities issued for a cash consideration?</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Please describe the consideration being provided for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35560</wp:posOffset>
            </wp:positionV>
            <wp:extent cx="6630670" cy="2095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30670" cy="209550"/>
                    </a:xfrm>
                    <a:prstGeom prst="rect">
                      <a:avLst/>
                    </a:prstGeom>
                    <a:noFill/>
                  </pic:spPr>
                </pic:pic>
              </a:graphicData>
            </a:graphic>
          </wp:anchor>
        </w:drawing>
      </w:r>
    </w:p>
    <w:p>
      <w:pPr>
        <w:spacing w:after="0" w:line="9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Share rights issued as part of Director remuneration.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Purpose of the issue</w:t>
      </w:r>
    </w:p>
    <w:p>
      <w:pPr>
        <w:spacing w:after="0" w:line="10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861060</wp:posOffset>
            </wp:positionV>
            <wp:extent cx="70548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35560</wp:posOffset>
            </wp:positionV>
            <wp:extent cx="6630670" cy="218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30670" cy="2184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509270</wp:posOffset>
            </wp:positionV>
            <wp:extent cx="70637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0" w:type="dxa"/>
            <w:vAlign w:val="bottom"/>
          </w:tcPr>
          <w:p>
            <w:pPr>
              <w:ind w:left="140"/>
              <w:spacing w:after="0"/>
              <w:rPr>
                <w:sz w:val="20"/>
                <w:szCs w:val="20"/>
                <w:color w:val="auto"/>
              </w:rPr>
            </w:pPr>
            <w:r>
              <w:rPr>
                <w:rFonts w:ascii="Arial" w:cs="Arial" w:eastAsia="Arial" w:hAnsi="Arial"/>
                <w:sz w:val="16"/>
                <w:szCs w:val="16"/>
                <w:color w:val="auto"/>
              </w:rPr>
              <w:t>Appendix 3G - Notification of issue, conversion or payment up of unquoted equity securities</w:t>
            </w:r>
          </w:p>
        </w:tc>
        <w:tc>
          <w:tcPr>
            <w:tcW w:w="2440" w:type="dxa"/>
            <w:vAlign w:val="bottom"/>
          </w:tcPr>
          <w:p>
            <w:pPr>
              <w:jc w:val="right"/>
              <w:spacing w:after="0"/>
              <w:rPr>
                <w:sz w:val="20"/>
                <w:szCs w:val="20"/>
                <w:color w:val="auto"/>
              </w:rPr>
            </w:pPr>
            <w:r>
              <w:rPr>
                <w:rFonts w:ascii="Arial" w:cs="Arial" w:eastAsia="Arial" w:hAnsi="Arial"/>
                <w:sz w:val="15"/>
                <w:szCs w:val="15"/>
                <w:color w:val="auto"/>
              </w:rPr>
              <w:t>4 / 6</w:t>
            </w:r>
          </w:p>
        </w:tc>
      </w:tr>
      <w:tr>
        <w:trPr>
          <w:trHeight w:val="522"/>
        </w:trPr>
        <w:tc>
          <w:tcPr>
            <w:tcW w:w="88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 w:name="page8"/>
    <w:bookmarkEnd w:id="7"/>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200025</wp:posOffset>
            </wp:positionV>
            <wp:extent cx="23114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3G - Notification of issue, conversion or payment up of unquoted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70548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4 - +Securities on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16116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600" w:right="800"/>
        <w:spacing w:after="0" w:line="290" w:lineRule="auto"/>
        <w:rPr>
          <w:sz w:val="20"/>
          <w:szCs w:val="20"/>
          <w:color w:val="auto"/>
        </w:rPr>
      </w:pPr>
      <w:r>
        <w:rPr>
          <w:rFonts w:ascii="Arial" w:cs="Arial" w:eastAsia="Arial" w:hAnsi="Arial"/>
          <w:sz w:val="16"/>
          <w:szCs w:val="16"/>
          <w:b w:val="1"/>
          <w:bCs w:val="1"/>
          <w:color w:val="auto"/>
        </w:rPr>
        <w:t>Following the issue, conversion or payment up of the +securities the subject of this notification, the +securities of the entity will comprise:</w:t>
      </w:r>
    </w:p>
    <w:p>
      <w:pPr>
        <w:spacing w:after="0" w:line="1" w:lineRule="exact"/>
        <w:rPr>
          <w:sz w:val="20"/>
          <w:szCs w:val="20"/>
          <w:color w:val="auto"/>
        </w:rPr>
      </w:pPr>
    </w:p>
    <w:p>
      <w:pPr>
        <w:ind w:left="660" w:right="460"/>
        <w:spacing w:after="0" w:line="286" w:lineRule="auto"/>
        <w:rPr>
          <w:sz w:val="20"/>
          <w:szCs w:val="20"/>
          <w:color w:val="auto"/>
        </w:rPr>
      </w:pPr>
      <w:r>
        <w:rPr>
          <w:rFonts w:ascii="Arial" w:cs="Arial" w:eastAsia="Arial" w:hAnsi="Arial"/>
          <w:sz w:val="16"/>
          <w:szCs w:val="16"/>
          <w:color w:val="auto"/>
        </w:rPr>
        <w:t>The figures in parts 4.1 and 4.2 below are automatically generated and may not reflect the entity's current issued capital if other Appendix 2A, Appendix 3G or Appendix 3H forms are currently with ASX for processing.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6"/>
                <w:szCs w:val="16"/>
                <w:b w:val="1"/>
                <w:bCs w:val="1"/>
                <w:color w:val="auto"/>
              </w:rPr>
              <w:t>4.1 Quoted +securities (Total number of each +class of +securities issued and quoted on ASX)</w:t>
            </w:r>
          </w:p>
        </w:tc>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20" w:type="dxa"/>
            <w:vAlign w:val="bottom"/>
          </w:tcPr>
          <w:p>
            <w:pPr>
              <w:spacing w:after="0"/>
              <w:rPr>
                <w:sz w:val="24"/>
                <w:szCs w:val="24"/>
                <w:color w:val="auto"/>
              </w:rPr>
            </w:pPr>
          </w:p>
        </w:tc>
        <w:tc>
          <w:tcPr>
            <w:tcW w:w="8800" w:type="dxa"/>
            <w:vAlign w:val="bottom"/>
            <w:vMerge w:val="restart"/>
          </w:tcPr>
          <w:p>
            <w:pPr>
              <w:ind w:left="540"/>
              <w:spacing w:after="0"/>
              <w:rPr>
                <w:sz w:val="20"/>
                <w:szCs w:val="20"/>
                <w:color w:val="auto"/>
              </w:rPr>
            </w:pPr>
            <w:r>
              <w:rPr>
                <w:rFonts w:ascii="Arial" w:cs="Arial" w:eastAsia="Arial" w:hAnsi="Arial"/>
                <w:sz w:val="16"/>
                <w:szCs w:val="16"/>
                <w:b w:val="1"/>
                <w:bCs w:val="1"/>
                <w:color w:val="auto"/>
              </w:rPr>
              <w:t>ASX +security code and description</w:t>
            </w:r>
          </w:p>
        </w:tc>
        <w:tc>
          <w:tcPr>
            <w:tcW w:w="23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Total number of</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800" w:type="dxa"/>
            <w:vAlign w:val="bottom"/>
            <w:vMerge w:val="continue"/>
          </w:tcPr>
          <w:p>
            <w:pPr>
              <w:spacing w:after="0"/>
              <w:rPr>
                <w:sz w:val="19"/>
                <w:szCs w:val="19"/>
                <w:color w:val="auto"/>
              </w:rPr>
            </w:pPr>
          </w:p>
        </w:tc>
        <w:tc>
          <w:tcPr>
            <w:tcW w:w="23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+securities on issue</w:t>
            </w:r>
          </w:p>
        </w:tc>
        <w:tc>
          <w:tcPr>
            <w:tcW w:w="0" w:type="dxa"/>
            <w:vAlign w:val="bottom"/>
          </w:tcPr>
          <w:p>
            <w:pPr>
              <w:spacing w:after="0"/>
              <w:rPr>
                <w:sz w:val="1"/>
                <w:szCs w:val="1"/>
                <w:color w:val="auto"/>
              </w:rPr>
            </w:pPr>
          </w:p>
        </w:tc>
      </w:tr>
      <w:tr>
        <w:trPr>
          <w:trHeight w:val="734"/>
        </w:trPr>
        <w:tc>
          <w:tcPr>
            <w:tcW w:w="120" w:type="dxa"/>
            <w:vAlign w:val="bottom"/>
          </w:tcPr>
          <w:p>
            <w:pPr>
              <w:spacing w:after="0"/>
              <w:rPr>
                <w:sz w:val="24"/>
                <w:szCs w:val="24"/>
                <w:color w:val="auto"/>
              </w:rPr>
            </w:pPr>
          </w:p>
        </w:tc>
        <w:tc>
          <w:tcPr>
            <w:tcW w:w="8800" w:type="dxa"/>
            <w:vAlign w:val="bottom"/>
          </w:tcPr>
          <w:p>
            <w:pPr>
              <w:ind w:left="540"/>
              <w:spacing w:after="0"/>
              <w:rPr>
                <w:sz w:val="20"/>
                <w:szCs w:val="20"/>
                <w:color w:val="auto"/>
              </w:rPr>
            </w:pPr>
            <w:r>
              <w:rPr>
                <w:rFonts w:ascii="Arial" w:cs="Arial" w:eastAsia="Arial" w:hAnsi="Arial"/>
                <w:sz w:val="16"/>
                <w:szCs w:val="16"/>
                <w:color w:val="auto"/>
              </w:rPr>
              <w:t>NVX : ORDINARY FULLY PAID</w:t>
            </w:r>
          </w:p>
        </w:tc>
        <w:tc>
          <w:tcPr>
            <w:tcW w:w="2300" w:type="dxa"/>
            <w:vAlign w:val="bottom"/>
          </w:tcPr>
          <w:p>
            <w:pPr>
              <w:jc w:val="right"/>
              <w:ind w:right="59"/>
              <w:spacing w:after="0"/>
              <w:rPr>
                <w:sz w:val="20"/>
                <w:szCs w:val="20"/>
                <w:color w:val="auto"/>
              </w:rPr>
            </w:pPr>
            <w:r>
              <w:rPr>
                <w:rFonts w:ascii="Arial" w:cs="Arial" w:eastAsia="Arial" w:hAnsi="Arial"/>
                <w:sz w:val="16"/>
                <w:szCs w:val="16"/>
                <w:color w:val="auto"/>
              </w:rPr>
              <w:t>861,442,940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0"/>
        </w:trPr>
        <w:tc>
          <w:tcPr>
            <w:tcW w:w="120" w:type="dxa"/>
            <w:vAlign w:val="bottom"/>
          </w:tcPr>
          <w:p>
            <w:pPr>
              <w:spacing w:after="0"/>
              <w:rPr>
                <w:sz w:val="24"/>
                <w:szCs w:val="24"/>
                <w:color w:val="auto"/>
              </w:rPr>
            </w:pPr>
          </w:p>
        </w:tc>
        <w:tc>
          <w:tcPr>
            <w:tcW w:w="8800" w:type="dxa"/>
            <w:vAlign w:val="bottom"/>
          </w:tcPr>
          <w:p>
            <w:pPr>
              <w:ind w:left="480"/>
              <w:spacing w:after="0"/>
              <w:rPr>
                <w:sz w:val="20"/>
                <w:szCs w:val="20"/>
                <w:color w:val="auto"/>
              </w:rPr>
            </w:pPr>
            <w:r>
              <w:rPr>
                <w:rFonts w:ascii="Arial" w:cs="Arial" w:eastAsia="Arial" w:hAnsi="Arial"/>
                <w:sz w:val="16"/>
                <w:szCs w:val="16"/>
                <w:b w:val="1"/>
                <w:bCs w:val="1"/>
                <w:color w:val="auto"/>
              </w:rPr>
              <w:t>4.2 Unquoted +securities (Total number of each +class of +securities issued but not quoted on ASX)</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3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Total number of</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800" w:type="dxa"/>
            <w:vAlign w:val="bottom"/>
          </w:tcPr>
          <w:p>
            <w:pPr>
              <w:ind w:left="540"/>
              <w:spacing w:after="0"/>
              <w:rPr>
                <w:sz w:val="20"/>
                <w:szCs w:val="20"/>
                <w:color w:val="auto"/>
              </w:rPr>
            </w:pPr>
            <w:r>
              <w:rPr>
                <w:rFonts w:ascii="Arial" w:cs="Arial" w:eastAsia="Arial" w:hAnsi="Arial"/>
                <w:sz w:val="16"/>
                <w:szCs w:val="16"/>
                <w:b w:val="1"/>
                <w:bCs w:val="1"/>
                <w:color w:val="auto"/>
              </w:rPr>
              <w:t>ASX +security code and description</w:t>
            </w:r>
          </w:p>
        </w:tc>
        <w:tc>
          <w:tcPr>
            <w:tcW w:w="23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+securities on issue</w:t>
            </w:r>
          </w:p>
        </w:tc>
        <w:tc>
          <w:tcPr>
            <w:tcW w:w="0" w:type="dxa"/>
            <w:vAlign w:val="bottom"/>
          </w:tcPr>
          <w:p>
            <w:pPr>
              <w:spacing w:after="0"/>
              <w:rPr>
                <w:sz w:val="1"/>
                <w:szCs w:val="1"/>
                <w:color w:val="auto"/>
              </w:rPr>
            </w:pPr>
          </w:p>
        </w:tc>
      </w:tr>
      <w:tr>
        <w:trPr>
          <w:trHeight w:val="478"/>
        </w:trPr>
        <w:tc>
          <w:tcPr>
            <w:tcW w:w="120" w:type="dxa"/>
            <w:vAlign w:val="bottom"/>
          </w:tcPr>
          <w:p>
            <w:pPr>
              <w:spacing w:after="0"/>
              <w:rPr>
                <w:sz w:val="24"/>
                <w:szCs w:val="24"/>
                <w:color w:val="auto"/>
              </w:rPr>
            </w:pPr>
          </w:p>
        </w:tc>
        <w:tc>
          <w:tcPr>
            <w:tcW w:w="8800" w:type="dxa"/>
            <w:vAlign w:val="bottom"/>
          </w:tcPr>
          <w:p>
            <w:pPr>
              <w:ind w:left="540"/>
              <w:spacing w:after="0"/>
              <w:rPr>
                <w:sz w:val="20"/>
                <w:szCs w:val="20"/>
                <w:color w:val="auto"/>
              </w:rPr>
            </w:pPr>
            <w:r>
              <w:rPr>
                <w:rFonts w:ascii="Arial" w:cs="Arial" w:eastAsia="Arial" w:hAnsi="Arial"/>
                <w:sz w:val="16"/>
                <w:szCs w:val="16"/>
                <w:color w:val="auto"/>
              </w:rPr>
              <w:t>NVXAD : PERFORMANCE RIGHTS</w:t>
            </w:r>
          </w:p>
        </w:tc>
        <w:tc>
          <w:tcPr>
            <w:tcW w:w="2300" w:type="dxa"/>
            <w:vAlign w:val="bottom"/>
          </w:tcPr>
          <w:p>
            <w:pPr>
              <w:jc w:val="right"/>
              <w:ind w:right="59"/>
              <w:spacing w:after="0"/>
              <w:rPr>
                <w:sz w:val="20"/>
                <w:szCs w:val="20"/>
                <w:color w:val="auto"/>
              </w:rPr>
            </w:pPr>
            <w:r>
              <w:rPr>
                <w:rFonts w:ascii="Arial" w:cs="Arial" w:eastAsia="Arial" w:hAnsi="Arial"/>
                <w:sz w:val="16"/>
                <w:szCs w:val="16"/>
                <w:color w:val="auto"/>
              </w:rPr>
              <w:t>35,021,775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20" w:type="dxa"/>
            <w:vAlign w:val="bottom"/>
          </w:tcPr>
          <w:p>
            <w:pPr>
              <w:spacing w:after="0"/>
              <w:rPr>
                <w:sz w:val="24"/>
                <w:szCs w:val="24"/>
                <w:color w:val="auto"/>
              </w:rPr>
            </w:pPr>
          </w:p>
        </w:tc>
        <w:tc>
          <w:tcPr>
            <w:tcW w:w="8800" w:type="dxa"/>
            <w:vAlign w:val="bottom"/>
          </w:tcPr>
          <w:p>
            <w:pPr>
              <w:ind w:left="540"/>
              <w:spacing w:after="0"/>
              <w:rPr>
                <w:sz w:val="20"/>
                <w:szCs w:val="20"/>
                <w:color w:val="auto"/>
              </w:rPr>
            </w:pPr>
            <w:r>
              <w:rPr>
                <w:rFonts w:ascii="Arial" w:cs="Arial" w:eastAsia="Arial" w:hAnsi="Arial"/>
                <w:sz w:val="16"/>
                <w:szCs w:val="16"/>
                <w:color w:val="auto"/>
              </w:rPr>
              <w:t>NVXAA : OPTION EXPIRING VARIOUS DATES EX VARIOUS PRICES</w:t>
            </w:r>
          </w:p>
        </w:tc>
        <w:tc>
          <w:tcPr>
            <w:tcW w:w="2300" w:type="dxa"/>
            <w:vAlign w:val="bottom"/>
          </w:tcPr>
          <w:p>
            <w:pPr>
              <w:jc w:val="right"/>
              <w:ind w:right="59"/>
              <w:spacing w:after="0"/>
              <w:rPr>
                <w:sz w:val="20"/>
                <w:szCs w:val="20"/>
                <w:color w:val="auto"/>
              </w:rPr>
            </w:pPr>
            <w:r>
              <w:rPr>
                <w:rFonts w:ascii="Arial" w:cs="Arial" w:eastAsia="Arial" w:hAnsi="Arial"/>
                <w:sz w:val="16"/>
                <w:szCs w:val="16"/>
                <w:color w:val="auto"/>
              </w:rPr>
              <w:t>14,016,667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20" w:type="dxa"/>
            <w:vAlign w:val="bottom"/>
          </w:tcPr>
          <w:p>
            <w:pPr>
              <w:spacing w:after="0"/>
              <w:rPr>
                <w:sz w:val="24"/>
                <w:szCs w:val="24"/>
                <w:color w:val="auto"/>
              </w:rPr>
            </w:pPr>
          </w:p>
        </w:tc>
        <w:tc>
          <w:tcPr>
            <w:tcW w:w="8800" w:type="dxa"/>
            <w:vAlign w:val="bottom"/>
          </w:tcPr>
          <w:p>
            <w:pPr>
              <w:ind w:left="540"/>
              <w:spacing w:after="0"/>
              <w:rPr>
                <w:sz w:val="20"/>
                <w:szCs w:val="20"/>
                <w:color w:val="auto"/>
              </w:rPr>
            </w:pPr>
            <w:r>
              <w:rPr>
                <w:rFonts w:ascii="Arial" w:cs="Arial" w:eastAsia="Arial" w:hAnsi="Arial"/>
                <w:sz w:val="16"/>
                <w:szCs w:val="16"/>
                <w:color w:val="auto"/>
              </w:rPr>
              <w:t>NVXAL : CONVERTIBLE NOTES</w:t>
            </w:r>
          </w:p>
        </w:tc>
        <w:tc>
          <w:tcPr>
            <w:tcW w:w="2300" w:type="dxa"/>
            <w:vAlign w:val="bottom"/>
          </w:tcPr>
          <w:p>
            <w:pPr>
              <w:jc w:val="right"/>
              <w:ind w:right="59"/>
              <w:spacing w:after="0"/>
              <w:rPr>
                <w:sz w:val="20"/>
                <w:szCs w:val="20"/>
                <w:color w:val="auto"/>
              </w:rPr>
            </w:pPr>
            <w:r>
              <w:rPr>
                <w:rFonts w:ascii="Arial" w:cs="Arial" w:eastAsia="Arial" w:hAnsi="Arial"/>
                <w:sz w:val="16"/>
                <w:szCs w:val="16"/>
                <w:color w:val="auto"/>
              </w:rPr>
              <w:t>45,221,586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120" w:type="dxa"/>
            <w:vAlign w:val="bottom"/>
          </w:tcPr>
          <w:p>
            <w:pPr>
              <w:spacing w:after="0"/>
              <w:rPr>
                <w:sz w:val="24"/>
                <w:szCs w:val="24"/>
                <w:color w:val="auto"/>
              </w:rPr>
            </w:pPr>
          </w:p>
        </w:tc>
        <w:tc>
          <w:tcPr>
            <w:tcW w:w="8800" w:type="dxa"/>
            <w:vAlign w:val="bottom"/>
          </w:tcPr>
          <w:p>
            <w:pPr>
              <w:ind w:left="540"/>
              <w:spacing w:after="0"/>
              <w:rPr>
                <w:sz w:val="20"/>
                <w:szCs w:val="20"/>
                <w:color w:val="auto"/>
              </w:rPr>
            </w:pPr>
            <w:r>
              <w:rPr>
                <w:rFonts w:ascii="Arial" w:cs="Arial" w:eastAsia="Arial" w:hAnsi="Arial"/>
                <w:sz w:val="16"/>
                <w:szCs w:val="16"/>
                <w:color w:val="auto"/>
              </w:rPr>
              <w:t>NVXAH : CONVERTIBLE DEBENTURES</w:t>
            </w:r>
          </w:p>
        </w:tc>
        <w:tc>
          <w:tcPr>
            <w:tcW w:w="2300" w:type="dxa"/>
            <w:vAlign w:val="bottom"/>
          </w:tcPr>
          <w:p>
            <w:pPr>
              <w:jc w:val="right"/>
              <w:ind w:right="59"/>
              <w:spacing w:after="0"/>
              <w:rPr>
                <w:sz w:val="20"/>
                <w:szCs w:val="20"/>
                <w:color w:val="auto"/>
              </w:rPr>
            </w:pPr>
            <w:r>
              <w:rPr>
                <w:rFonts w:ascii="Arial" w:cs="Arial" w:eastAsia="Arial" w:hAnsi="Arial"/>
                <w:sz w:val="16"/>
                <w:szCs w:val="16"/>
                <w:color w:val="auto"/>
              </w:rPr>
              <w:t>35,000,000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20" w:type="dxa"/>
            <w:vAlign w:val="bottom"/>
          </w:tcPr>
          <w:p>
            <w:pPr>
              <w:spacing w:after="0"/>
              <w:rPr>
                <w:sz w:val="24"/>
                <w:szCs w:val="24"/>
                <w:color w:val="auto"/>
              </w:rPr>
            </w:pPr>
          </w:p>
        </w:tc>
        <w:tc>
          <w:tcPr>
            <w:tcW w:w="8800" w:type="dxa"/>
            <w:vAlign w:val="bottom"/>
          </w:tcPr>
          <w:p>
            <w:pPr>
              <w:ind w:left="540"/>
              <w:spacing w:after="0"/>
              <w:rPr>
                <w:sz w:val="20"/>
                <w:szCs w:val="20"/>
                <w:color w:val="auto"/>
              </w:rPr>
            </w:pPr>
            <w:r>
              <w:rPr>
                <w:rFonts w:ascii="Arial" w:cs="Arial" w:eastAsia="Arial" w:hAnsi="Arial"/>
                <w:sz w:val="16"/>
                <w:szCs w:val="16"/>
                <w:color w:val="auto"/>
              </w:rPr>
              <w:t>New class - code to be confirmed : Share Rights</w:t>
            </w:r>
          </w:p>
        </w:tc>
        <w:tc>
          <w:tcPr>
            <w:tcW w:w="2300" w:type="dxa"/>
            <w:vAlign w:val="bottom"/>
          </w:tcPr>
          <w:p>
            <w:pPr>
              <w:jc w:val="right"/>
              <w:ind w:right="59"/>
              <w:spacing w:after="0"/>
              <w:rPr>
                <w:sz w:val="20"/>
                <w:szCs w:val="20"/>
                <w:color w:val="auto"/>
              </w:rPr>
            </w:pPr>
            <w:r>
              <w:rPr>
                <w:rFonts w:ascii="Arial" w:cs="Arial" w:eastAsia="Arial" w:hAnsi="Arial"/>
                <w:sz w:val="16"/>
                <w:szCs w:val="16"/>
                <w:color w:val="auto"/>
              </w:rPr>
              <w:t>1,371,566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20" w:type="dxa"/>
            <w:vAlign w:val="bottom"/>
          </w:tcPr>
          <w:p>
            <w:pPr>
              <w:spacing w:after="0"/>
              <w:rPr>
                <w:sz w:val="24"/>
                <w:szCs w:val="24"/>
                <w:color w:val="auto"/>
              </w:rPr>
            </w:pPr>
          </w:p>
        </w:tc>
        <w:tc>
          <w:tcPr>
            <w:tcW w:w="8800" w:type="dxa"/>
            <w:vAlign w:val="bottom"/>
            <w:tcBorders>
              <w:bottom w:val="single" w:sz="8" w:color="7F7F7F"/>
            </w:tcBorders>
          </w:tcPr>
          <w:p>
            <w:pPr>
              <w:spacing w:after="0"/>
              <w:rPr>
                <w:sz w:val="24"/>
                <w:szCs w:val="24"/>
                <w:color w:val="auto"/>
              </w:rPr>
            </w:pPr>
          </w:p>
        </w:tc>
        <w:tc>
          <w:tcPr>
            <w:tcW w:w="2300" w:type="dxa"/>
            <w:vAlign w:val="bottom"/>
            <w:tcBorders>
              <w:bottom w:val="single" w:sz="8" w:color="7F7F7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20" w:type="dxa"/>
            <w:vAlign w:val="bottom"/>
          </w:tcPr>
          <w:p>
            <w:pPr>
              <w:spacing w:after="0"/>
              <w:rPr>
                <w:sz w:val="24"/>
                <w:szCs w:val="24"/>
                <w:color w:val="auto"/>
              </w:rPr>
            </w:pPr>
          </w:p>
        </w:tc>
        <w:tc>
          <w:tcPr>
            <w:tcW w:w="8800" w:type="dxa"/>
            <w:vAlign w:val="bottom"/>
          </w:tcPr>
          <w:p>
            <w:pPr>
              <w:ind w:left="20"/>
              <w:spacing w:after="0"/>
              <w:rPr>
                <w:sz w:val="20"/>
                <w:szCs w:val="20"/>
                <w:color w:val="auto"/>
              </w:rPr>
            </w:pPr>
            <w:r>
              <w:rPr>
                <w:rFonts w:ascii="Arial" w:cs="Arial" w:eastAsia="Arial" w:hAnsi="Arial"/>
                <w:sz w:val="16"/>
                <w:szCs w:val="16"/>
                <w:color w:val="auto"/>
              </w:rPr>
              <w:t>Appendix 3G - Notification of issue, conversion or payment up of unquoted equity securities</w:t>
            </w:r>
          </w:p>
        </w:tc>
        <w:tc>
          <w:tcPr>
            <w:tcW w:w="2300" w:type="dxa"/>
            <w:vAlign w:val="bottom"/>
          </w:tcPr>
          <w:p>
            <w:pPr>
              <w:jc w:val="right"/>
              <w:spacing w:after="0"/>
              <w:rPr>
                <w:sz w:val="20"/>
                <w:szCs w:val="20"/>
                <w:color w:val="auto"/>
              </w:rPr>
            </w:pPr>
            <w:r>
              <w:rPr>
                <w:rFonts w:ascii="Arial" w:cs="Arial" w:eastAsia="Arial" w:hAnsi="Arial"/>
                <w:sz w:val="15"/>
                <w:szCs w:val="15"/>
                <w:color w:val="auto"/>
              </w:rPr>
              <w:t>5 / 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12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 w:name="page9"/>
    <w:bookmarkEnd w:id="8"/>
    <w:p>
      <w:pPr>
        <w:ind w:left="7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276860</wp:posOffset>
            </wp:positionH>
            <wp:positionV relativeFrom="page">
              <wp:posOffset>200025</wp:posOffset>
            </wp:positionV>
            <wp:extent cx="23114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231140" cy="240030"/>
                    </a:xfrm>
                    <a:prstGeom prst="rect">
                      <a:avLst/>
                    </a:prstGeom>
                    <a:noFill/>
                  </pic:spPr>
                </pic:pic>
              </a:graphicData>
            </a:graphic>
          </wp:anchor>
        </w:drawing>
        <w:t>Appendix 3G - Notification of issue, conversion or payment up of unquoted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70548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5 - Other Listing Rule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22199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00" w:right="2120"/>
        <w:spacing w:after="0" w:line="256" w:lineRule="auto"/>
        <w:rPr>
          <w:sz w:val="20"/>
          <w:szCs w:val="20"/>
          <w:color w:val="auto"/>
        </w:rPr>
      </w:pPr>
      <w:r>
        <w:rPr>
          <w:rFonts w:ascii="Arial" w:cs="Arial" w:eastAsia="Arial" w:hAnsi="Arial"/>
          <w:sz w:val="16"/>
          <w:szCs w:val="16"/>
          <w:b w:val="1"/>
          <w:bCs w:val="1"/>
          <w:color w:val="auto"/>
        </w:rPr>
        <w:t>5.1 Were the +securities issued under an exception in Listing Rule 7.2 and therefore the issue did not need any security holder approval under Listing Rule 7.1?</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w:t>
      </w:r>
    </w:p>
    <w:p>
      <w:pPr>
        <w:spacing w:after="0" w:line="200" w:lineRule="exact"/>
        <w:rPr>
          <w:sz w:val="20"/>
          <w:szCs w:val="20"/>
          <w:color w:val="auto"/>
        </w:rPr>
      </w:pPr>
    </w:p>
    <w:p>
      <w:pPr>
        <w:spacing w:after="0" w:line="22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5.2 Has the entity obtained, or is it obtaining, +security holder approval for the issue under listing rule 7.1?</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Yes</w:t>
      </w:r>
    </w:p>
    <w:p>
      <w:pPr>
        <w:spacing w:after="0" w:line="151" w:lineRule="exact"/>
        <w:rPr>
          <w:sz w:val="20"/>
          <w:szCs w:val="20"/>
          <w:color w:val="auto"/>
        </w:rPr>
      </w:pPr>
    </w:p>
    <w:p>
      <w:pPr>
        <w:ind w:left="600" w:right="4160"/>
        <w:spacing w:after="0" w:line="409" w:lineRule="auto"/>
        <w:rPr>
          <w:sz w:val="20"/>
          <w:szCs w:val="20"/>
          <w:color w:val="auto"/>
        </w:rPr>
      </w:pPr>
      <w:r>
        <w:rPr>
          <w:rFonts w:ascii="Arial" w:cs="Arial" w:eastAsia="Arial" w:hAnsi="Arial"/>
          <w:sz w:val="16"/>
          <w:szCs w:val="16"/>
          <w:b w:val="1"/>
          <w:bCs w:val="1"/>
          <w:color w:val="auto"/>
        </w:rPr>
        <w:t xml:space="preserve">5.2a Date of meeting or proposed meeting to approve the issue under listing rule 7.1 </w:t>
      </w:r>
      <w:r>
        <w:rPr>
          <w:rFonts w:ascii="Arial" w:cs="Arial" w:eastAsia="Arial" w:hAnsi="Arial"/>
          <w:sz w:val="16"/>
          <w:szCs w:val="16"/>
          <w:color w:val="auto"/>
        </w:rPr>
        <w:t>15/4/2026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245110</wp:posOffset>
            </wp:positionV>
            <wp:extent cx="70548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0" w:type="dxa"/>
            <w:vAlign w:val="bottom"/>
          </w:tcPr>
          <w:p>
            <w:pPr>
              <w:ind w:left="140"/>
              <w:spacing w:after="0"/>
              <w:rPr>
                <w:sz w:val="20"/>
                <w:szCs w:val="20"/>
                <w:color w:val="auto"/>
              </w:rPr>
            </w:pPr>
            <w:r>
              <w:rPr>
                <w:rFonts w:ascii="Arial" w:cs="Arial" w:eastAsia="Arial" w:hAnsi="Arial"/>
                <w:sz w:val="16"/>
                <w:szCs w:val="16"/>
                <w:color w:val="auto"/>
              </w:rPr>
              <w:t>Appendix 3G - Notification of issue, conversion or payment up of unquoted equity securities</w:t>
            </w:r>
          </w:p>
        </w:tc>
        <w:tc>
          <w:tcPr>
            <w:tcW w:w="2440" w:type="dxa"/>
            <w:vAlign w:val="bottom"/>
          </w:tcPr>
          <w:p>
            <w:pPr>
              <w:jc w:val="right"/>
              <w:spacing w:after="0"/>
              <w:rPr>
                <w:sz w:val="20"/>
                <w:szCs w:val="20"/>
                <w:color w:val="auto"/>
              </w:rPr>
            </w:pPr>
            <w:r>
              <w:rPr>
                <w:rFonts w:ascii="Arial" w:cs="Arial" w:eastAsia="Arial" w:hAnsi="Arial"/>
                <w:sz w:val="15"/>
                <w:szCs w:val="15"/>
                <w:color w:val="auto"/>
              </w:rPr>
              <w:t>6 / 6</w:t>
            </w:r>
          </w:p>
        </w:tc>
      </w:tr>
      <w:tr>
        <w:trPr>
          <w:trHeight w:val="522"/>
        </w:trPr>
        <w:tc>
          <w:tcPr>
            <w:tcW w:w="88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2026-05-06T05:18:30Z</dcterms:created>
  <dcterms:modified xsi:type="dcterms:W3CDTF">2026-05-06T05:18:30Z</dcterms:modified>
</cp:coreProperties>
</file>