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6" w:lineRule="exact"/>
        <w:rPr>
          <w:sz w:val="24"/>
          <w:szCs w:val="24"/>
          <w:color w:val="auto"/>
        </w:rPr>
      </w:pPr>
    </w:p>
    <w:p>
      <w:pPr>
        <w:jc w:val="center"/>
        <w:ind w:left="1600"/>
        <w:spacing w:after="0" w:line="273"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For the month of October, 2026</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001-41208</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NOVONIX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Level 38</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71 Eagle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Brisbane, QLD 4000 Australia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66" w:lineRule="exact"/>
        <w:rPr>
          <w:sz w:val="24"/>
          <w:szCs w:val="24"/>
          <w:color w:val="auto"/>
        </w:rPr>
      </w:pPr>
    </w:p>
    <w:p>
      <w:pPr>
        <w:ind w:right="1619"/>
        <w:spacing w:after="0" w:line="259"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7"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FF"/>
        </w:rPr>
        <w:t>ASX Announcement (Quarterly Activities/Appendix 4C Cash Flow Report) dated October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4"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NOVONIX LIMITED</w:t>
      </w:r>
    </w:p>
    <w:p>
      <w:pPr>
        <w:spacing w:after="0" w:line="200" w:lineRule="exact"/>
        <w:rPr>
          <w:sz w:val="20"/>
          <w:szCs w:val="20"/>
          <w:color w:val="auto"/>
        </w:rPr>
      </w:pPr>
    </w:p>
    <w:p>
      <w:pPr>
        <w:spacing w:after="0" w:line="245" w:lineRule="exact"/>
        <w:rPr>
          <w:sz w:val="20"/>
          <w:szCs w:val="20"/>
          <w:color w:val="auto"/>
        </w:rPr>
      </w:pPr>
    </w:p>
    <w:p>
      <w:pPr>
        <w:ind w:left="7100"/>
        <w:spacing w:after="0"/>
        <w:tabs>
          <w:tab w:leader="none" w:pos="7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Mike O'Kronley</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Mike O'Kronley</w:t>
      </w:r>
    </w:p>
    <w:p>
      <w:pPr>
        <w:spacing w:after="0" w:line="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259715</wp:posOffset>
            </wp:positionH>
            <wp:positionV relativeFrom="page">
              <wp:posOffset>88900</wp:posOffset>
            </wp:positionV>
            <wp:extent cx="7012305" cy="1714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980"/>
        <w:spacing w:after="0"/>
        <w:rPr>
          <w:sz w:val="20"/>
          <w:szCs w:val="20"/>
          <w:color w:val="auto"/>
        </w:rPr>
      </w:pPr>
      <w:r>
        <w:rPr>
          <w:rFonts w:ascii="Arial" w:cs="Arial" w:eastAsia="Arial" w:hAnsi="Arial"/>
          <w:sz w:val="20"/>
          <w:szCs w:val="20"/>
          <w:b w:val="1"/>
          <w:bCs w:val="1"/>
          <w:color w:val="auto"/>
        </w:rPr>
        <w:t>Exhibit 99.1</w:t>
      </w:r>
    </w:p>
    <w:p>
      <w:pPr>
        <w:spacing w:after="0" w:line="43" w:lineRule="exact"/>
        <w:rPr>
          <w:sz w:val="20"/>
          <w:szCs w:val="20"/>
          <w:color w:val="auto"/>
        </w:rPr>
      </w:pPr>
    </w:p>
    <w:p>
      <w:pPr>
        <w:ind w:left="980"/>
        <w:spacing w:after="0"/>
        <w:rPr>
          <w:sz w:val="20"/>
          <w:szCs w:val="20"/>
          <w:color w:val="auto"/>
        </w:rPr>
      </w:pPr>
      <w:r>
        <w:rPr>
          <w:rFonts w:ascii="Arial" w:cs="Arial" w:eastAsia="Arial" w:hAnsi="Arial"/>
          <w:sz w:val="25"/>
          <w:szCs w:val="25"/>
          <w:b w:val="1"/>
          <w:bCs w:val="1"/>
          <w:color w:val="00AE42"/>
        </w:rPr>
        <w:t>Key Highlights</w:t>
      </w:r>
    </w:p>
    <w:p>
      <w:pPr>
        <w:spacing w:after="0" w:line="57" w:lineRule="exact"/>
        <w:rPr>
          <w:sz w:val="20"/>
          <w:szCs w:val="20"/>
          <w:color w:val="auto"/>
        </w:rPr>
      </w:pPr>
    </w:p>
    <w:p>
      <w:pPr>
        <w:ind w:left="1640" w:right="1220" w:hanging="328"/>
        <w:spacing w:after="0" w:line="243" w:lineRule="auto"/>
        <w:tabs>
          <w:tab w:leader="none" w:pos="1640" w:val="left"/>
        </w:tabs>
        <w:numPr>
          <w:ilvl w:val="0"/>
          <w:numId w:val="1"/>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South Korea–U.S. Initiative</w:t>
      </w:r>
      <w:r>
        <w:rPr>
          <w:rFonts w:ascii="Arial" w:cs="Arial" w:eastAsia="Arial" w:hAnsi="Arial"/>
          <w:sz w:val="21"/>
          <w:szCs w:val="21"/>
          <w:color w:val="auto"/>
        </w:rPr>
        <w:t>: NOVONIX was selected for presentation under a</w:t>
      </w:r>
      <w:r>
        <w:rPr>
          <w:rFonts w:ascii="Arial" w:cs="Arial" w:eastAsia="Arial" w:hAnsi="Arial"/>
          <w:sz w:val="21"/>
          <w:szCs w:val="21"/>
          <w:b w:val="1"/>
          <w:bCs w:val="1"/>
          <w:color w:val="auto"/>
        </w:rPr>
        <w:t xml:space="preserve"> </w:t>
      </w:r>
      <w:r>
        <w:rPr>
          <w:rFonts w:ascii="Arial" w:cs="Arial" w:eastAsia="Arial" w:hAnsi="Arial"/>
          <w:sz w:val="21"/>
          <w:szCs w:val="21"/>
          <w:color w:val="auto"/>
        </w:rPr>
        <w:t>government-led infrastructure initiative connecting U.S. projects with Korean industrial and financing participants; selection does not constitute a funding commitment.</w:t>
      </w:r>
    </w:p>
    <w:p>
      <w:pPr>
        <w:spacing w:after="0" w:line="2" w:lineRule="exact"/>
        <w:rPr>
          <w:rFonts w:ascii="Times New Roman" w:cs="Times New Roman" w:eastAsia="Times New Roman" w:hAnsi="Times New Roman"/>
          <w:sz w:val="21"/>
          <w:szCs w:val="21"/>
          <w:color w:val="auto"/>
        </w:rPr>
      </w:pPr>
    </w:p>
    <w:p>
      <w:pPr>
        <w:ind w:left="1640" w:right="1140" w:hanging="328"/>
        <w:spacing w:after="0" w:line="241" w:lineRule="auto"/>
        <w:tabs>
          <w:tab w:leader="none" w:pos="1640" w:val="left"/>
        </w:tabs>
        <w:numPr>
          <w:ilvl w:val="0"/>
          <w:numId w:val="1"/>
        </w:numPr>
        <w:rPr>
          <w:rFonts w:ascii="Times New Roman" w:cs="Times New Roman" w:eastAsia="Times New Roman" w:hAnsi="Times New Roman"/>
          <w:sz w:val="21"/>
          <w:szCs w:val="21"/>
          <w:color w:val="auto"/>
        </w:rPr>
      </w:pPr>
      <w:r>
        <w:rPr>
          <w:rFonts w:ascii="Arial" w:cs="Arial" w:eastAsia="Arial" w:hAnsi="Arial"/>
          <w:sz w:val="21"/>
          <w:szCs w:val="21"/>
          <w:b w:val="1"/>
          <w:bCs w:val="1"/>
          <w:color w:val="auto"/>
        </w:rPr>
        <w:t>Domestic Precursor Collaboration</w:t>
      </w:r>
      <w:r>
        <w:rPr>
          <w:rFonts w:ascii="Arial" w:cs="Arial" w:eastAsia="Arial" w:hAnsi="Arial"/>
          <w:sz w:val="21"/>
          <w:szCs w:val="21"/>
          <w:color w:val="auto"/>
        </w:rPr>
        <w:t>: NOVONIX and ACP Technologies entered into a</w:t>
      </w:r>
      <w:r>
        <w:rPr>
          <w:rFonts w:ascii="Arial" w:cs="Arial" w:eastAsia="Arial" w:hAnsi="Arial"/>
          <w:sz w:val="21"/>
          <w:szCs w:val="21"/>
          <w:b w:val="1"/>
          <w:bCs w:val="1"/>
          <w:color w:val="auto"/>
        </w:rPr>
        <w:t xml:space="preserve"> </w:t>
      </w:r>
      <w:r>
        <w:rPr>
          <w:rFonts w:ascii="Arial" w:cs="Arial" w:eastAsia="Arial" w:hAnsi="Arial"/>
          <w:sz w:val="21"/>
          <w:szCs w:val="21"/>
          <w:color w:val="auto"/>
        </w:rPr>
        <w:t>non-binding MOU to pursue the development of domestically-sourced, pitch-coated synthetic graphite active anode material (AAM) and advance mass-production processes, supporting the development of a fully domestic AAM supply chain.</w:t>
      </w:r>
    </w:p>
    <w:p>
      <w:pPr>
        <w:spacing w:after="0" w:line="1" w:lineRule="exact"/>
        <w:rPr>
          <w:rFonts w:ascii="Times New Roman" w:cs="Times New Roman" w:eastAsia="Times New Roman" w:hAnsi="Times New Roman"/>
          <w:sz w:val="21"/>
          <w:szCs w:val="21"/>
          <w:color w:val="auto"/>
        </w:rPr>
      </w:pPr>
    </w:p>
    <w:p>
      <w:pPr>
        <w:ind w:left="1640" w:right="1580" w:hanging="328"/>
        <w:spacing w:after="0" w:line="230" w:lineRule="auto"/>
        <w:tabs>
          <w:tab w:leader="none" w:pos="1640" w:val="left"/>
        </w:tabs>
        <w:numPr>
          <w:ilvl w:val="0"/>
          <w:numId w:val="1"/>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Riverside Commercialization</w:t>
      </w:r>
      <w:r>
        <w:rPr>
          <w:rFonts w:ascii="Arial" w:cs="Arial" w:eastAsia="Arial" w:hAnsi="Arial"/>
          <w:sz w:val="22"/>
          <w:szCs w:val="22"/>
          <w:color w:val="auto"/>
        </w:rPr>
        <w:t>: NOVONIX continues to engage with a variety of</w:t>
      </w:r>
      <w:r>
        <w:rPr>
          <w:rFonts w:ascii="Arial" w:cs="Arial" w:eastAsia="Arial" w:hAnsi="Arial"/>
          <w:sz w:val="22"/>
          <w:szCs w:val="22"/>
          <w:b w:val="1"/>
          <w:bCs w:val="1"/>
          <w:color w:val="auto"/>
        </w:rPr>
        <w:t xml:space="preserve"> </w:t>
      </w:r>
      <w:r>
        <w:rPr>
          <w:rFonts w:ascii="Arial" w:cs="Arial" w:eastAsia="Arial" w:hAnsi="Arial"/>
          <w:sz w:val="22"/>
          <w:szCs w:val="22"/>
          <w:color w:val="auto"/>
        </w:rPr>
        <w:t>companies across the battery supply chain to validate NOVONIX materials, while internally focusing on process improvement, production readiness, and disciplined deployment of capital.</w:t>
      </w:r>
    </w:p>
    <w:p>
      <w:pPr>
        <w:spacing w:after="0" w:line="1" w:lineRule="exact"/>
        <w:rPr>
          <w:rFonts w:ascii="Times New Roman" w:cs="Times New Roman" w:eastAsia="Times New Roman" w:hAnsi="Times New Roman"/>
          <w:sz w:val="22"/>
          <w:szCs w:val="22"/>
          <w:color w:val="auto"/>
        </w:rPr>
      </w:pPr>
    </w:p>
    <w:p>
      <w:pPr>
        <w:ind w:left="1640" w:right="1040" w:hanging="328"/>
        <w:spacing w:after="0" w:line="230" w:lineRule="auto"/>
        <w:tabs>
          <w:tab w:leader="none" w:pos="1640" w:val="left"/>
        </w:tabs>
        <w:numPr>
          <w:ilvl w:val="0"/>
          <w:numId w:val="1"/>
        </w:numPr>
        <w:rPr>
          <w:rFonts w:ascii="Times New Roman" w:cs="Times New Roman" w:eastAsia="Times New Roman" w:hAnsi="Times New Roman"/>
          <w:sz w:val="22"/>
          <w:szCs w:val="22"/>
          <w:color w:val="auto"/>
        </w:rPr>
      </w:pPr>
      <w:r>
        <w:rPr>
          <w:rFonts w:ascii="Arial" w:cs="Arial" w:eastAsia="Arial" w:hAnsi="Arial"/>
          <w:sz w:val="22"/>
          <w:szCs w:val="22"/>
          <w:b w:val="1"/>
          <w:bCs w:val="1"/>
          <w:color w:val="auto"/>
        </w:rPr>
        <w:t>Customer Qualification</w:t>
      </w:r>
      <w:r>
        <w:rPr>
          <w:rFonts w:ascii="Arial" w:cs="Arial" w:eastAsia="Arial" w:hAnsi="Arial"/>
          <w:sz w:val="22"/>
          <w:szCs w:val="22"/>
          <w:color w:val="auto"/>
        </w:rPr>
        <w:t>: NOVONIX is continuing with process development</w:t>
      </w:r>
      <w:r>
        <w:rPr>
          <w:rFonts w:ascii="Arial" w:cs="Arial" w:eastAsia="Arial" w:hAnsi="Arial"/>
          <w:sz w:val="22"/>
          <w:szCs w:val="22"/>
          <w:b w:val="1"/>
          <w:bCs w:val="1"/>
          <w:color w:val="auto"/>
        </w:rPr>
        <w:t xml:space="preserve"> </w:t>
      </w:r>
      <w:r>
        <w:rPr>
          <w:rFonts w:ascii="Arial" w:cs="Arial" w:eastAsia="Arial" w:hAnsi="Arial"/>
          <w:sz w:val="22"/>
          <w:szCs w:val="22"/>
          <w:color w:val="auto"/>
        </w:rPr>
        <w:t>improvements aimed at ensuring all customer product qualification requirements can be met. NOVONIX believes that the outstanding items in material specification will be addressed in the near future.</w:t>
      </w:r>
    </w:p>
    <w:p>
      <w:pPr>
        <w:spacing w:after="0" w:line="1" w:lineRule="exact"/>
        <w:rPr>
          <w:rFonts w:ascii="Times New Roman" w:cs="Times New Roman" w:eastAsia="Times New Roman" w:hAnsi="Times New Roman"/>
          <w:sz w:val="22"/>
          <w:szCs w:val="22"/>
          <w:color w:val="auto"/>
        </w:rPr>
      </w:pPr>
    </w:p>
    <w:p>
      <w:pPr>
        <w:ind w:left="1640" w:right="1200" w:hanging="328"/>
        <w:spacing w:after="0" w:line="230" w:lineRule="auto"/>
        <w:tabs>
          <w:tab w:leader="none" w:pos="1640" w:val="left"/>
        </w:tabs>
        <w:numPr>
          <w:ilvl w:val="0"/>
          <w:numId w:val="1"/>
        </w:numPr>
        <w:rPr>
          <w:rFonts w:ascii="Times New Roman" w:cs="Times New Roman" w:eastAsia="Times New Roman" w:hAnsi="Times New Roman"/>
          <w:sz w:val="22"/>
          <w:szCs w:val="22"/>
          <w:color w:val="auto"/>
        </w:rPr>
      </w:pPr>
      <w:r>
        <w:rPr>
          <w:rFonts w:ascii="Arial" w:cs="Arial" w:eastAsia="Arial" w:hAnsi="Arial"/>
          <w:sz w:val="22"/>
          <w:szCs w:val="22"/>
          <w:b w:val="1"/>
          <w:bCs w:val="1"/>
          <w:color w:val="373A36"/>
        </w:rPr>
        <w:t>Amortization Event</w:t>
      </w:r>
      <w:r>
        <w:rPr>
          <w:rFonts w:ascii="Arial" w:cs="Arial" w:eastAsia="Arial" w:hAnsi="Arial"/>
          <w:sz w:val="22"/>
          <w:szCs w:val="22"/>
          <w:color w:val="373A36"/>
        </w:rPr>
        <w:t>: In September, NOVONIX disclosed an amortization event under</w:t>
      </w:r>
      <w:r>
        <w:rPr>
          <w:rFonts w:ascii="Arial" w:cs="Arial" w:eastAsia="Arial" w:hAnsi="Arial"/>
          <w:sz w:val="22"/>
          <w:szCs w:val="22"/>
          <w:b w:val="1"/>
          <w:bCs w:val="1"/>
          <w:color w:val="373A36"/>
        </w:rPr>
        <w:t xml:space="preserve"> </w:t>
      </w:r>
      <w:r>
        <w:rPr>
          <w:rFonts w:ascii="Arial" w:cs="Arial" w:eastAsia="Arial" w:hAnsi="Arial"/>
          <w:sz w:val="22"/>
          <w:szCs w:val="22"/>
          <w:color w:val="373A36"/>
        </w:rPr>
        <w:t>its Yorkville convertible debenture arrangement arising from the share-price condition. As required under that arrangement, a US$7 million repayment occurred from cash reserves in each of September and October.</w:t>
      </w:r>
    </w:p>
    <w:p>
      <w:pPr>
        <w:spacing w:after="0" w:line="1" w:lineRule="exact"/>
        <w:rPr>
          <w:rFonts w:ascii="Times New Roman" w:cs="Times New Roman" w:eastAsia="Times New Roman" w:hAnsi="Times New Roman"/>
          <w:sz w:val="22"/>
          <w:szCs w:val="22"/>
          <w:color w:val="auto"/>
        </w:rPr>
      </w:pPr>
    </w:p>
    <w:p>
      <w:pPr>
        <w:ind w:left="1640" w:right="1260" w:hanging="328"/>
        <w:spacing w:after="0" w:line="236" w:lineRule="auto"/>
        <w:tabs>
          <w:tab w:leader="none" w:pos="1640" w:val="left"/>
        </w:tabs>
        <w:numPr>
          <w:ilvl w:val="0"/>
          <w:numId w:val="1"/>
        </w:numPr>
        <w:rPr>
          <w:rFonts w:ascii="Times New Roman" w:cs="Times New Roman" w:eastAsia="Times New Roman" w:hAnsi="Times New Roman"/>
          <w:sz w:val="22"/>
          <w:szCs w:val="22"/>
          <w:color w:val="auto"/>
        </w:rPr>
      </w:pPr>
      <w:r>
        <w:rPr>
          <w:rFonts w:ascii="Arial" w:cs="Arial" w:eastAsia="Arial" w:hAnsi="Arial"/>
          <w:sz w:val="22"/>
          <w:szCs w:val="22"/>
          <w:b w:val="1"/>
          <w:bCs w:val="1"/>
          <w:color w:val="373A36"/>
        </w:rPr>
        <w:t>ISO 9001 Certification</w:t>
      </w:r>
      <w:r>
        <w:rPr>
          <w:rFonts w:ascii="Arial" w:cs="Arial" w:eastAsia="Arial" w:hAnsi="Arial"/>
          <w:sz w:val="22"/>
          <w:szCs w:val="22"/>
          <w:color w:val="373A36"/>
        </w:rPr>
        <w:t>: In October, NOVONIX announced that its Riverside facility in</w:t>
      </w:r>
      <w:r>
        <w:rPr>
          <w:rFonts w:ascii="Arial" w:cs="Arial" w:eastAsia="Arial" w:hAnsi="Arial"/>
          <w:sz w:val="22"/>
          <w:szCs w:val="22"/>
          <w:b w:val="1"/>
          <w:bCs w:val="1"/>
          <w:color w:val="373A36"/>
        </w:rPr>
        <w:t xml:space="preserve"> </w:t>
      </w:r>
      <w:r>
        <w:rPr>
          <w:rFonts w:ascii="Arial" w:cs="Arial" w:eastAsia="Arial" w:hAnsi="Arial"/>
          <w:sz w:val="22"/>
          <w:szCs w:val="22"/>
          <w:color w:val="373A36"/>
        </w:rPr>
        <w:t>Chattanooga, Tennessee, achieved ISO 9001:2015 certification, an internationally recognized standard for quality management systems.</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25"/>
          <w:szCs w:val="25"/>
          <w:b w:val="1"/>
          <w:bCs w:val="1"/>
          <w:color w:val="00AE42"/>
        </w:rPr>
        <w:t>Strategic Partnerships and Financing Engagement</w:t>
      </w:r>
    </w:p>
    <w:p>
      <w:pPr>
        <w:spacing w:after="0" w:line="55" w:lineRule="exact"/>
        <w:rPr>
          <w:sz w:val="20"/>
          <w:szCs w:val="20"/>
          <w:color w:val="auto"/>
        </w:rPr>
      </w:pPr>
    </w:p>
    <w:p>
      <w:pPr>
        <w:ind w:left="980" w:right="1100"/>
        <w:spacing w:after="0" w:line="234" w:lineRule="auto"/>
        <w:rPr>
          <w:sz w:val="20"/>
          <w:szCs w:val="20"/>
          <w:color w:val="auto"/>
        </w:rPr>
      </w:pPr>
      <w:r>
        <w:rPr>
          <w:rFonts w:ascii="Arial" w:cs="Arial" w:eastAsia="Arial" w:hAnsi="Arial"/>
          <w:sz w:val="22"/>
          <w:szCs w:val="22"/>
          <w:color w:val="auto"/>
        </w:rPr>
        <w:t>In September, NOVONIX announced that the first phase of the NOVONIX synthetic graphite AAM project had been included in a South Korea–U.S. infrastructure initiative coordinated by the Republic of Korea’s Ministry of Land, Infrastructure and Transport and Korea Overseas Infrastructure &amp; Urban Development Corporation (KIND). The initiative facilitates introductions to Korean contractors, strategic partners, and potential financing sources.</w:t>
      </w:r>
    </w:p>
    <w:p>
      <w:pPr>
        <w:spacing w:after="0" w:line="110" w:lineRule="exact"/>
        <w:rPr>
          <w:sz w:val="20"/>
          <w:szCs w:val="20"/>
          <w:color w:val="auto"/>
        </w:rPr>
      </w:pPr>
    </w:p>
    <w:p>
      <w:pPr>
        <w:ind w:left="980" w:right="1520"/>
        <w:spacing w:after="0" w:line="245" w:lineRule="auto"/>
        <w:rPr>
          <w:sz w:val="20"/>
          <w:szCs w:val="20"/>
          <w:color w:val="auto"/>
        </w:rPr>
      </w:pPr>
      <w:r>
        <w:rPr>
          <w:rFonts w:ascii="Arial" w:cs="Arial" w:eastAsia="Arial" w:hAnsi="Arial"/>
          <w:sz w:val="22"/>
          <w:szCs w:val="22"/>
          <w:color w:val="auto"/>
        </w:rPr>
        <w:t>NOVONIX also announced a non-binding memorandum of understanding with ACP Technologies to evaluate domestic carbon precursor materials and pitch-coated synthetic graphite AAM.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733425</wp:posOffset>
            </wp:positionV>
            <wp:extent cx="57607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60720" cy="2603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904875</wp:posOffset>
            </wp:positionV>
            <wp:extent cx="4629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29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700" w:type="dxa"/>
            <w:vAlign w:val="bottom"/>
          </w:tcPr>
          <w:p>
            <w:pPr>
              <w:ind w:left="980"/>
              <w:spacing w:after="0"/>
              <w:rPr>
                <w:sz w:val="20"/>
                <w:szCs w:val="20"/>
                <w:color w:val="auto"/>
              </w:rPr>
            </w:pPr>
            <w:r>
              <w:rPr>
                <w:rFonts w:ascii="Arial" w:cs="Arial" w:eastAsia="Arial" w:hAnsi="Arial"/>
                <w:sz w:val="20"/>
                <w:szCs w:val="20"/>
                <w:color w:val="373A36"/>
              </w:rPr>
              <w:t>1029 West 19th Street, Chattanooga, Tennessee, USA, 37408 | novonixgroup.com</w:t>
            </w:r>
          </w:p>
        </w:tc>
        <w:tc>
          <w:tcPr>
            <w:tcW w:w="2340" w:type="dxa"/>
            <w:vAlign w:val="bottom"/>
          </w:tcPr>
          <w:p>
            <w:pPr>
              <w:jc w:val="right"/>
              <w:ind w:right="1681"/>
              <w:spacing w:after="0"/>
              <w:rPr>
                <w:sz w:val="20"/>
                <w:szCs w:val="20"/>
                <w:color w:val="auto"/>
              </w:rPr>
            </w:pPr>
            <w:r>
              <w:rPr>
                <w:rFonts w:ascii="Arial" w:cs="Arial" w:eastAsia="Arial" w:hAnsi="Arial"/>
                <w:sz w:val="20"/>
                <w:szCs w:val="20"/>
                <w:color w:val="auto"/>
              </w:rPr>
              <w:t>1</w:t>
            </w:r>
          </w:p>
        </w:tc>
      </w:tr>
      <w:tr>
        <w:trPr>
          <w:trHeight w:val="1172"/>
        </w:trPr>
        <w:tc>
          <w:tcPr>
            <w:tcW w:w="87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4" w:name="page5"/>
    <w:bookmarkEnd w:id="4"/>
    <w:p>
      <w:pPr>
        <w:ind w:left="980" w:right="1520"/>
        <w:spacing w:after="0" w:line="283"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628015</wp:posOffset>
            </wp:positionH>
            <wp:positionV relativeFrom="page">
              <wp:posOffset>260350</wp:posOffset>
            </wp:positionV>
            <wp:extent cx="2374265" cy="8058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374265" cy="805815"/>
                    </a:xfrm>
                    <a:prstGeom prst="rect">
                      <a:avLst/>
                    </a:prstGeom>
                    <a:noFill/>
                  </pic:spPr>
                </pic:pic>
              </a:graphicData>
            </a:graphic>
          </wp:anchor>
        </w:drawing>
        <w:t>Proposed work includes product development, process validation, and potential customer sampling. Any commercial arrangements remain subject to further agreement.</w:t>
      </w:r>
    </w:p>
    <w:p>
      <w:pPr>
        <w:spacing w:after="0" w:line="67" w:lineRule="exact"/>
        <w:rPr>
          <w:sz w:val="20"/>
          <w:szCs w:val="20"/>
          <w:color w:val="auto"/>
        </w:rPr>
      </w:pPr>
    </w:p>
    <w:p>
      <w:pPr>
        <w:ind w:left="980"/>
        <w:spacing w:after="0"/>
        <w:rPr>
          <w:sz w:val="20"/>
          <w:szCs w:val="20"/>
          <w:color w:val="auto"/>
        </w:rPr>
      </w:pPr>
      <w:r>
        <w:rPr>
          <w:rFonts w:ascii="Arial" w:cs="Arial" w:eastAsia="Arial" w:hAnsi="Arial"/>
          <w:sz w:val="25"/>
          <w:szCs w:val="25"/>
          <w:b w:val="1"/>
          <w:bCs w:val="1"/>
          <w:color w:val="00AE42"/>
        </w:rPr>
        <w:t>Commercial Operations and Customer Qualification</w:t>
      </w:r>
    </w:p>
    <w:p>
      <w:pPr>
        <w:spacing w:after="0" w:line="55" w:lineRule="exact"/>
        <w:rPr>
          <w:sz w:val="20"/>
          <w:szCs w:val="20"/>
          <w:color w:val="auto"/>
        </w:rPr>
      </w:pPr>
    </w:p>
    <w:p>
      <w:pPr>
        <w:ind w:left="980" w:right="1280"/>
        <w:spacing w:after="0" w:line="232" w:lineRule="auto"/>
        <w:rPr>
          <w:sz w:val="20"/>
          <w:szCs w:val="20"/>
          <w:color w:val="auto"/>
        </w:rPr>
      </w:pPr>
      <w:r>
        <w:rPr>
          <w:rFonts w:ascii="Arial" w:cs="Arial" w:eastAsia="Arial" w:hAnsi="Arial"/>
          <w:sz w:val="22"/>
          <w:szCs w:val="22"/>
          <w:color w:val="auto"/>
        </w:rPr>
        <w:t>During the quarter, NOVONIX continued its qualification work for synthetic graphite anode active material produced at its Riverside facility in Chattanooga, Tennessee. As disclosed in September, the initial C-sample met most specification parameters, leaving several outstanding. NOVONIX has identified targeted actions and is undertaking further work to address the remaining parameters in coordination with the customer’s final acceptance. It is expected that all outstanding work will be completed in the near future. Successful qualification remains subject to further customer testing and approval. The Company’s previously communicated expectation for commencement of mass production sales in the second half of 2027 remains subject to successful completion of the applicable qualification process and other operational and commercial conditions.</w:t>
      </w:r>
    </w:p>
    <w:p>
      <w:pPr>
        <w:spacing w:after="0" w:line="115" w:lineRule="exact"/>
        <w:rPr>
          <w:sz w:val="20"/>
          <w:szCs w:val="20"/>
          <w:color w:val="auto"/>
        </w:rPr>
      </w:pPr>
    </w:p>
    <w:p>
      <w:pPr>
        <w:ind w:left="980"/>
        <w:spacing w:after="0"/>
        <w:rPr>
          <w:sz w:val="20"/>
          <w:szCs w:val="20"/>
          <w:color w:val="auto"/>
        </w:rPr>
      </w:pPr>
      <w:r>
        <w:rPr>
          <w:rFonts w:ascii="Arial" w:cs="Arial" w:eastAsia="Arial" w:hAnsi="Arial"/>
          <w:sz w:val="25"/>
          <w:szCs w:val="25"/>
          <w:b w:val="1"/>
          <w:bCs w:val="1"/>
          <w:color w:val="00AE42"/>
        </w:rPr>
        <w:t>Industry and Sector Outlook</w:t>
      </w:r>
    </w:p>
    <w:p>
      <w:pPr>
        <w:spacing w:after="0" w:line="61" w:lineRule="exact"/>
        <w:rPr>
          <w:sz w:val="20"/>
          <w:szCs w:val="20"/>
          <w:color w:val="auto"/>
        </w:rPr>
      </w:pPr>
    </w:p>
    <w:p>
      <w:pPr>
        <w:ind w:left="980" w:right="1280"/>
        <w:spacing w:after="0" w:line="237" w:lineRule="auto"/>
        <w:rPr>
          <w:sz w:val="20"/>
          <w:szCs w:val="20"/>
          <w:color w:val="auto"/>
        </w:rPr>
      </w:pPr>
      <w:r>
        <w:rPr>
          <w:rFonts w:ascii="Arial" w:cs="Arial" w:eastAsia="Arial" w:hAnsi="Arial"/>
          <w:sz w:val="22"/>
          <w:szCs w:val="22"/>
          <w:color w:val="auto"/>
        </w:rPr>
        <w:t>Graphite AAM is a critical input to lithium-ion batteries used in stationary energy storage, defense applications, and electric vehicles. Demand for battery energy storage in the United States continues to grow, supported by increasing electricity demand, grid reliability requirements, and the expansion of energy storage infrastructure.</w:t>
      </w:r>
    </w:p>
    <w:p>
      <w:pPr>
        <w:spacing w:after="0" w:line="95" w:lineRule="exact"/>
        <w:rPr>
          <w:sz w:val="20"/>
          <w:szCs w:val="20"/>
          <w:color w:val="auto"/>
        </w:rPr>
      </w:pPr>
    </w:p>
    <w:p>
      <w:pPr>
        <w:ind w:left="980" w:right="1400"/>
        <w:spacing w:after="0" w:line="263" w:lineRule="auto"/>
        <w:rPr>
          <w:sz w:val="20"/>
          <w:szCs w:val="20"/>
          <w:color w:val="auto"/>
        </w:rPr>
      </w:pPr>
      <w:r>
        <w:rPr>
          <w:rFonts w:ascii="Arial" w:cs="Arial" w:eastAsia="Arial" w:hAnsi="Arial"/>
          <w:sz w:val="21"/>
          <w:szCs w:val="21"/>
          <w:color w:val="auto"/>
        </w:rPr>
        <w:t>According to the U.S. Energy Information Administration (EIA), U.S. utility-scale battery storage capacity reached approximately 52 gigawatts (GW) by June 2026, with developers</w:t>
      </w:r>
    </w:p>
    <w:p>
      <w:pPr>
        <w:ind w:left="980" w:right="1300"/>
        <w:spacing w:after="0" w:line="226" w:lineRule="auto"/>
        <w:rPr>
          <w:sz w:val="20"/>
          <w:szCs w:val="20"/>
          <w:color w:val="auto"/>
        </w:rPr>
      </w:pPr>
      <w:r>
        <w:rPr>
          <w:rFonts w:ascii="Arial" w:cs="Arial" w:eastAsia="Arial" w:hAnsi="Arial"/>
          <w:sz w:val="22"/>
          <w:szCs w:val="22"/>
          <w:color w:val="auto"/>
        </w:rPr>
        <w:t>planning to add approximately 54 GW of additional capacity through 2028.</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This growth represents an expanding potential domestic market for battery materials, including synthetic graphite AAM.</w:t>
      </w:r>
    </w:p>
    <w:p>
      <w:pPr>
        <w:spacing w:after="0" w:line="108" w:lineRule="exact"/>
        <w:rPr>
          <w:sz w:val="20"/>
          <w:szCs w:val="20"/>
          <w:color w:val="auto"/>
        </w:rPr>
      </w:pPr>
    </w:p>
    <w:p>
      <w:pPr>
        <w:ind w:left="980" w:right="1160"/>
        <w:spacing w:after="0" w:line="263" w:lineRule="auto"/>
        <w:rPr>
          <w:sz w:val="20"/>
          <w:szCs w:val="20"/>
          <w:color w:val="auto"/>
        </w:rPr>
      </w:pPr>
      <w:r>
        <w:rPr>
          <w:rFonts w:ascii="Arial" w:cs="Arial" w:eastAsia="Arial" w:hAnsi="Arial"/>
          <w:sz w:val="21"/>
          <w:szCs w:val="21"/>
          <w:color w:val="auto"/>
        </w:rPr>
        <w:t>Industry outlooks are consistent with the EIA data. A September 2026 report by the Solar Energy Industries Association (SEIA) and Benchmark Mineral Intelligence revised its forecast</w:t>
      </w:r>
    </w:p>
    <w:p>
      <w:pPr>
        <w:jc w:val="both"/>
        <w:ind w:left="980" w:right="1460"/>
        <w:spacing w:after="0" w:line="226" w:lineRule="auto"/>
        <w:rPr>
          <w:sz w:val="20"/>
          <w:szCs w:val="20"/>
          <w:color w:val="auto"/>
        </w:rPr>
      </w:pPr>
      <w:r>
        <w:rPr>
          <w:rFonts w:ascii="Arial" w:cs="Arial" w:eastAsia="Arial" w:hAnsi="Arial"/>
          <w:sz w:val="22"/>
          <w:szCs w:val="22"/>
          <w:color w:val="auto"/>
        </w:rPr>
        <w:t>for cumulative U.S. energy storage capacity through 2030 upward by 11.5% to 683 GWh,</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reflecting stronger-than-expected demand. The report also noted that U.S. energy storage installations reached a record 20.2GWh in the second quarter of 2026.</w:t>
      </w:r>
    </w:p>
    <w:p>
      <w:pPr>
        <w:spacing w:after="0" w:line="110" w:lineRule="exact"/>
        <w:rPr>
          <w:sz w:val="20"/>
          <w:szCs w:val="20"/>
          <w:color w:val="auto"/>
        </w:rPr>
      </w:pPr>
    </w:p>
    <w:p>
      <w:pPr>
        <w:ind w:left="980"/>
        <w:spacing w:after="0"/>
        <w:rPr>
          <w:sz w:val="20"/>
          <w:szCs w:val="20"/>
          <w:color w:val="auto"/>
        </w:rPr>
      </w:pPr>
      <w:r>
        <w:rPr>
          <w:rFonts w:ascii="Arial" w:cs="Arial" w:eastAsia="Arial" w:hAnsi="Arial"/>
          <w:sz w:val="25"/>
          <w:szCs w:val="25"/>
          <w:b w:val="1"/>
          <w:bCs w:val="1"/>
          <w:color w:val="00AE42"/>
        </w:rPr>
        <w:t>U.S. Government Policy Developments</w:t>
      </w:r>
    </w:p>
    <w:p>
      <w:pPr>
        <w:spacing w:after="0" w:line="45"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National Security Focus</w:t>
      </w:r>
    </w:p>
    <w:p>
      <w:pPr>
        <w:ind w:left="980" w:right="1460"/>
        <w:spacing w:after="0" w:line="237" w:lineRule="auto"/>
        <w:rPr>
          <w:sz w:val="20"/>
          <w:szCs w:val="20"/>
          <w:color w:val="auto"/>
        </w:rPr>
      </w:pPr>
      <w:r>
        <w:rPr>
          <w:rFonts w:ascii="Arial" w:cs="Arial" w:eastAsia="Arial" w:hAnsi="Arial"/>
          <w:sz w:val="22"/>
          <w:szCs w:val="22"/>
          <w:color w:val="auto"/>
        </w:rPr>
        <w:t>U.S. government policy continues to emphasize the importance of secure domestic critical mineral and battery supply chains. During the quarter, the U.S. Government continued to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784225</wp:posOffset>
            </wp:positionV>
            <wp:extent cx="168846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980" w:right="1060" w:firstLine="8"/>
        <w:spacing w:after="0" w:line="193" w:lineRule="auto"/>
        <w:tabs>
          <w:tab w:leader="none" w:pos="1087"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U.S. Energy Information Administration, “Battery storage capacity averaged 70% growth over the last three years,” Today in Energy, August 7, 2026, https://www.eia.gov/TodayinEnergy/detail.php?id=67925</w:t>
      </w:r>
    </w:p>
    <w:p>
      <w:pPr>
        <w:ind w:left="980"/>
        <w:spacing w:after="0"/>
        <w:rPr>
          <w:rFonts w:ascii="Arial" w:cs="Arial" w:eastAsia="Arial" w:hAnsi="Arial"/>
          <w:sz w:val="24"/>
          <w:szCs w:val="24"/>
          <w:color w:val="auto"/>
          <w:vertAlign w:val="superscript"/>
        </w:rPr>
      </w:pPr>
      <w:r>
        <w:rPr>
          <w:rFonts w:ascii="Arial" w:cs="Arial" w:eastAsia="Arial" w:hAnsi="Arial"/>
          <w:sz w:val="24"/>
          <w:szCs w:val="24"/>
          <w:color w:val="auto"/>
          <w:vertAlign w:val="superscript"/>
        </w:rPr>
        <w:t>2</w:t>
      </w:r>
      <w:r>
        <w:rPr>
          <w:rFonts w:ascii="Arial" w:cs="Arial" w:eastAsia="Arial" w:hAnsi="Arial"/>
          <w:sz w:val="14"/>
          <w:szCs w:val="14"/>
          <w:color w:val="auto"/>
        </w:rPr>
        <w:t xml:space="preserve"> SEIA and Benchmark Mineral Intelligence, U.S. Energy Storage Market Outlook Q3 2026, September 1, 2026. Supporting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52705</wp:posOffset>
            </wp:positionV>
            <wp:extent cx="576072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60720" cy="2540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224155</wp:posOffset>
            </wp:positionV>
            <wp:extent cx="462915"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2915" cy="42862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700" w:type="dxa"/>
            <w:vAlign w:val="bottom"/>
          </w:tcPr>
          <w:p>
            <w:pPr>
              <w:ind w:left="980"/>
              <w:spacing w:after="0"/>
              <w:rPr>
                <w:sz w:val="20"/>
                <w:szCs w:val="20"/>
                <w:color w:val="auto"/>
              </w:rPr>
            </w:pPr>
            <w:r>
              <w:rPr>
                <w:rFonts w:ascii="Arial" w:cs="Arial" w:eastAsia="Arial" w:hAnsi="Arial"/>
                <w:sz w:val="20"/>
                <w:szCs w:val="20"/>
                <w:color w:val="373A36"/>
              </w:rPr>
              <w:t>1029 West 19th Street, Chattanooga, Tennessee, USA, 37408 | novonixgroup.com</w:t>
            </w:r>
          </w:p>
        </w:tc>
        <w:tc>
          <w:tcPr>
            <w:tcW w:w="2340" w:type="dxa"/>
            <w:vAlign w:val="bottom"/>
          </w:tcPr>
          <w:p>
            <w:pPr>
              <w:jc w:val="right"/>
              <w:ind w:right="1681"/>
              <w:spacing w:after="0"/>
              <w:rPr>
                <w:sz w:val="20"/>
                <w:szCs w:val="20"/>
                <w:color w:val="auto"/>
              </w:rPr>
            </w:pPr>
            <w:r>
              <w:rPr>
                <w:rFonts w:ascii="Arial" w:cs="Arial" w:eastAsia="Arial" w:hAnsi="Arial"/>
                <w:sz w:val="20"/>
                <w:szCs w:val="20"/>
                <w:color w:val="auto"/>
              </w:rPr>
              <w:t>2</w:t>
            </w:r>
          </w:p>
        </w:tc>
      </w:tr>
      <w:tr>
        <w:trPr>
          <w:trHeight w:val="1063"/>
        </w:trPr>
        <w:tc>
          <w:tcPr>
            <w:tcW w:w="87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09" w:right="439" w:bottom="1440" w:gutter="0" w:footer="0" w:header="0"/>
        </w:sectPr>
      </w:pPr>
    </w:p>
    <w:bookmarkStart w:id="5" w:name="page6"/>
    <w:bookmarkEnd w:id="5"/>
    <w:p>
      <w:pPr>
        <w:ind w:left="980" w:right="1020"/>
        <w:spacing w:after="0" w:line="235"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628015</wp:posOffset>
            </wp:positionH>
            <wp:positionV relativeFrom="page">
              <wp:posOffset>260350</wp:posOffset>
            </wp:positionV>
            <wp:extent cx="2374265" cy="805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374265" cy="805815"/>
                    </a:xfrm>
                    <a:prstGeom prst="rect">
                      <a:avLst/>
                    </a:prstGeom>
                    <a:noFill/>
                  </pic:spPr>
                </pic:pic>
              </a:graphicData>
            </a:graphic>
          </wp:anchor>
        </w:drawing>
        <w:t xml:space="preserve">policies aimed at strengthening domestic critical minerals and battery materials supply chains and reducing reliance on foreign-controlled sources. On July 20, 2026, the President issued an Executive Order, </w:t>
      </w:r>
      <w:r>
        <w:rPr>
          <w:rFonts w:ascii="Arial" w:cs="Arial" w:eastAsia="Arial" w:hAnsi="Arial"/>
          <w:sz w:val="22"/>
          <w:szCs w:val="22"/>
          <w:i w:val="1"/>
          <w:iCs w:val="1"/>
          <w:color w:val="auto"/>
        </w:rPr>
        <w:t>Securing America's Defense Supply Chains and Ensuring Domestic</w:t>
      </w:r>
      <w:r>
        <w:rPr>
          <w:rFonts w:ascii="Arial" w:cs="Arial" w:eastAsia="Arial" w:hAnsi="Arial"/>
          <w:sz w:val="22"/>
          <w:szCs w:val="22"/>
          <w:color w:val="auto"/>
        </w:rPr>
        <w:t xml:space="preserve"> </w:t>
      </w:r>
      <w:r>
        <w:rPr>
          <w:rFonts w:ascii="Arial" w:cs="Arial" w:eastAsia="Arial" w:hAnsi="Arial"/>
          <w:sz w:val="22"/>
          <w:szCs w:val="22"/>
          <w:i w:val="1"/>
          <w:iCs w:val="1"/>
          <w:color w:val="auto"/>
        </w:rPr>
        <w:t>Acquisition of Critical Materials</w:t>
      </w:r>
      <w:r>
        <w:rPr>
          <w:rFonts w:ascii="Arial" w:cs="Arial" w:eastAsia="Arial" w:hAnsi="Arial"/>
          <w:sz w:val="22"/>
          <w:szCs w:val="22"/>
          <w:color w:val="auto"/>
        </w:rPr>
        <w:t>, establishing a policy of sourcing critical materials and</w:t>
      </w:r>
      <w:r>
        <w:rPr>
          <w:rFonts w:ascii="Arial" w:cs="Arial" w:eastAsia="Arial" w:hAnsi="Arial"/>
          <w:sz w:val="22"/>
          <w:szCs w:val="22"/>
          <w:i w:val="1"/>
          <w:iCs w:val="1"/>
          <w:color w:val="auto"/>
        </w:rPr>
        <w:t xml:space="preserve"> </w:t>
      </w:r>
      <w:r>
        <w:rPr>
          <w:rFonts w:ascii="Arial" w:cs="Arial" w:eastAsia="Arial" w:hAnsi="Arial"/>
          <w:sz w:val="22"/>
          <w:szCs w:val="22"/>
          <w:color w:val="auto"/>
        </w:rPr>
        <w:t>components for military equipment domestically or from allied nations. The Executive Order directs the Department of War to strengthen supply chain traceability, address reliance on unreliable foreign suppliers, and accelerate the qualification of alternative sources of critical materials and components.</w:t>
      </w:r>
    </w:p>
    <w:p>
      <w:pPr>
        <w:spacing w:after="0" w:line="111" w:lineRule="exact"/>
        <w:rPr>
          <w:sz w:val="20"/>
          <w:szCs w:val="20"/>
          <w:color w:val="auto"/>
        </w:rPr>
      </w:pPr>
    </w:p>
    <w:p>
      <w:pPr>
        <w:ind w:left="980" w:right="1040"/>
        <w:spacing w:after="0" w:line="236" w:lineRule="auto"/>
        <w:rPr>
          <w:sz w:val="20"/>
          <w:szCs w:val="20"/>
          <w:color w:val="auto"/>
        </w:rPr>
      </w:pPr>
      <w:r>
        <w:rPr>
          <w:rFonts w:ascii="Arial" w:cs="Arial" w:eastAsia="Arial" w:hAnsi="Arial"/>
          <w:sz w:val="22"/>
          <w:szCs w:val="22"/>
          <w:color w:val="auto"/>
        </w:rPr>
        <w:t>These initiatives complement existing measures that, beginning on October 1, 2027, prohibit the Department of War from procuring batteries produced by six specified Chinese manufacturers, including Contemporary Amperex Technology Co., Limited (CATL) and BYD Company Limited (BYD), subject to waiver by the Secretary of War. The restrictions also apply to batteries that have a majority of components from those manufacturers and batteries manufactured or assembled by those entities.</w:t>
      </w:r>
    </w:p>
    <w:p>
      <w:pPr>
        <w:spacing w:after="0" w:line="101" w:lineRule="exact"/>
        <w:rPr>
          <w:sz w:val="20"/>
          <w:szCs w:val="20"/>
          <w:color w:val="auto"/>
        </w:rPr>
      </w:pPr>
    </w:p>
    <w:p>
      <w:pPr>
        <w:ind w:left="980" w:right="1160"/>
        <w:spacing w:after="0" w:line="283" w:lineRule="auto"/>
        <w:rPr>
          <w:sz w:val="20"/>
          <w:szCs w:val="20"/>
          <w:color w:val="auto"/>
        </w:rPr>
      </w:pPr>
      <w:r>
        <w:rPr>
          <w:rFonts w:ascii="Arial" w:cs="Arial" w:eastAsia="Arial" w:hAnsi="Arial"/>
          <w:sz w:val="21"/>
          <w:szCs w:val="21"/>
          <w:color w:val="auto"/>
        </w:rPr>
        <w:t>Beginning in January 2028, these restrictions will expand to prohibit, in a phased manner, the use of battery materials sourced from foreign entities of concern (FEOCs), such as China.</w:t>
      </w:r>
    </w:p>
    <w:p>
      <w:pPr>
        <w:spacing w:after="0" w:line="65" w:lineRule="exact"/>
        <w:rPr>
          <w:sz w:val="20"/>
          <w:szCs w:val="20"/>
          <w:color w:val="auto"/>
        </w:rPr>
      </w:pPr>
    </w:p>
    <w:p>
      <w:pPr>
        <w:ind w:left="980" w:right="1160"/>
        <w:spacing w:after="0"/>
        <w:rPr>
          <w:sz w:val="20"/>
          <w:szCs w:val="20"/>
          <w:color w:val="auto"/>
        </w:rPr>
      </w:pPr>
      <w:r>
        <w:rPr>
          <w:rFonts w:ascii="Arial" w:cs="Arial" w:eastAsia="Arial" w:hAnsi="Arial"/>
          <w:sz w:val="22"/>
          <w:szCs w:val="22"/>
          <w:color w:val="auto"/>
        </w:rPr>
        <w:t>These prohibitions reflect the U.S. government's increasing focus on reducing reliance on Chinese-controlled battery supply chains for defense applications and reinforces the strategic importance of developing secure domestic sources of critical battery materials, including graphite AAM.</w:t>
      </w:r>
    </w:p>
    <w:p>
      <w:pPr>
        <w:spacing w:after="0" w:line="107"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AD/CVD Appeal</w:t>
      </w:r>
    </w:p>
    <w:p>
      <w:pPr>
        <w:spacing w:after="0" w:line="46" w:lineRule="exact"/>
        <w:rPr>
          <w:sz w:val="20"/>
          <w:szCs w:val="20"/>
          <w:color w:val="auto"/>
        </w:rPr>
      </w:pPr>
    </w:p>
    <w:p>
      <w:pPr>
        <w:ind w:left="980" w:right="1120"/>
        <w:spacing w:after="0"/>
        <w:rPr>
          <w:sz w:val="20"/>
          <w:szCs w:val="20"/>
          <w:color w:val="auto"/>
        </w:rPr>
      </w:pPr>
      <w:r>
        <w:rPr>
          <w:rFonts w:ascii="Arial" w:cs="Arial" w:eastAsia="Arial" w:hAnsi="Arial"/>
          <w:sz w:val="22"/>
          <w:szCs w:val="22"/>
          <w:color w:val="auto"/>
        </w:rPr>
        <w:t>The March 2026 determination by the U.S. International Trade Commission (ITC) that imports of graphite AAM from China did not materially retard the establishment of a domestic industry is under appeal before the U.S. Court of International Trade (CIT). Oral arguments are scheduled for the second half of January 2027.</w:t>
      </w:r>
    </w:p>
    <w:p>
      <w:pPr>
        <w:spacing w:after="0" w:line="14" w:lineRule="exact"/>
        <w:rPr>
          <w:sz w:val="20"/>
          <w:szCs w:val="20"/>
          <w:color w:val="auto"/>
        </w:rPr>
      </w:pPr>
    </w:p>
    <w:p>
      <w:pPr>
        <w:ind w:left="980" w:right="1100"/>
        <w:spacing w:after="0" w:line="236" w:lineRule="auto"/>
        <w:rPr>
          <w:sz w:val="20"/>
          <w:szCs w:val="20"/>
          <w:color w:val="auto"/>
        </w:rPr>
      </w:pPr>
      <w:r>
        <w:rPr>
          <w:rFonts w:ascii="Arial" w:cs="Arial" w:eastAsia="Arial" w:hAnsi="Arial"/>
          <w:sz w:val="22"/>
          <w:szCs w:val="22"/>
          <w:color w:val="auto"/>
        </w:rPr>
        <w:t>If the CIT identifies legal errors or findings unsupported by substantial evidence, it will remand the determination to the ITC for reconsideration. On remand, the ITC would be required to address the issues identified by the CIT. The ITC could either reaffirm its original negative determination or reach a new affirmative determination. An affirmative determination would result in the imposition of antidumping and countervailing duties on Chinese graphite AAM at the rates previously determined by the U.S. Department of Commerce, which were approximately 160%.</w:t>
      </w:r>
    </w:p>
    <w:p>
      <w:pPr>
        <w:spacing w:after="0" w:line="14" w:lineRule="exact"/>
        <w:rPr>
          <w:sz w:val="20"/>
          <w:szCs w:val="20"/>
          <w:color w:val="auto"/>
        </w:rPr>
      </w:pPr>
    </w:p>
    <w:p>
      <w:pPr>
        <w:ind w:left="980" w:right="1320"/>
        <w:spacing w:after="0" w:line="238" w:lineRule="auto"/>
        <w:rPr>
          <w:sz w:val="20"/>
          <w:szCs w:val="20"/>
          <w:color w:val="auto"/>
        </w:rPr>
      </w:pPr>
      <w:r>
        <w:rPr>
          <w:rFonts w:ascii="Arial" w:cs="Arial" w:eastAsia="Arial" w:hAnsi="Arial"/>
          <w:sz w:val="22"/>
          <w:szCs w:val="22"/>
          <w:color w:val="auto"/>
        </w:rPr>
        <w:t>ITC reversals are unusual. However, of the three commissioners who issued the original decision against the domestic industry, in March 2026, only one (who voted in favor of the domestic industry and imposing the tariffs) remains on the ITC. There are now five new commissioners on the ITC. With a full slate of six commissioners, only three commissioners need to vote in favor of the domestic industry to have the tariffs imposed.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900430</wp:posOffset>
            </wp:positionV>
            <wp:extent cx="576072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2540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1071880</wp:posOffset>
            </wp:positionV>
            <wp:extent cx="462915"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29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700" w:type="dxa"/>
            <w:vAlign w:val="bottom"/>
          </w:tcPr>
          <w:p>
            <w:pPr>
              <w:ind w:left="980"/>
              <w:spacing w:after="0"/>
              <w:rPr>
                <w:sz w:val="20"/>
                <w:szCs w:val="20"/>
                <w:color w:val="auto"/>
              </w:rPr>
            </w:pPr>
            <w:r>
              <w:rPr>
                <w:rFonts w:ascii="Arial" w:cs="Arial" w:eastAsia="Arial" w:hAnsi="Arial"/>
                <w:sz w:val="20"/>
                <w:szCs w:val="20"/>
                <w:color w:val="373A36"/>
              </w:rPr>
              <w:t>1029 West 19th Street, Chattanooga, Tennessee, USA, 37408 | novonixgroup.com</w:t>
            </w:r>
          </w:p>
        </w:tc>
        <w:tc>
          <w:tcPr>
            <w:tcW w:w="2340" w:type="dxa"/>
            <w:vAlign w:val="bottom"/>
          </w:tcPr>
          <w:p>
            <w:pPr>
              <w:jc w:val="right"/>
              <w:ind w:right="1681"/>
              <w:spacing w:after="0"/>
              <w:rPr>
                <w:sz w:val="20"/>
                <w:szCs w:val="20"/>
                <w:color w:val="auto"/>
              </w:rPr>
            </w:pPr>
            <w:r>
              <w:rPr>
                <w:rFonts w:ascii="Arial" w:cs="Arial" w:eastAsia="Arial" w:hAnsi="Arial"/>
                <w:sz w:val="20"/>
                <w:szCs w:val="20"/>
                <w:color w:val="auto"/>
              </w:rPr>
              <w:t>3</w:t>
            </w:r>
          </w:p>
        </w:tc>
      </w:tr>
      <w:tr>
        <w:trPr>
          <w:trHeight w:val="1172"/>
        </w:trPr>
        <w:tc>
          <w:tcPr>
            <w:tcW w:w="87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09" w:right="439" w:bottom="1440" w:gutter="0" w:footer="0" w:header="0"/>
        </w:sectPr>
      </w:pPr>
    </w:p>
    <w:bookmarkStart w:id="6" w:name="page7"/>
    <w:bookmarkEnd w:id="6"/>
    <w:p>
      <w:pPr>
        <w:ind w:left="980" w:right="11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628015</wp:posOffset>
            </wp:positionH>
            <wp:positionV relativeFrom="page">
              <wp:posOffset>260350</wp:posOffset>
            </wp:positionV>
            <wp:extent cx="2374265" cy="805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2374265" cy="805815"/>
                    </a:xfrm>
                    <a:prstGeom prst="rect">
                      <a:avLst/>
                    </a:prstGeom>
                    <a:noFill/>
                  </pic:spPr>
                </pic:pic>
              </a:graphicData>
            </a:graphic>
          </wp:anchor>
        </w:drawing>
        <w:t>On October 19, 2026, the petitioners in the appeal requested that the ITC request a voluntary remand of their March 2026 negative injury determination. It would be unusual for the ITC to request such a voluntary remand. However, if they do so, and if the CIT grants such request, the review of the appeal would be expedited.</w:t>
      </w:r>
    </w:p>
    <w:p>
      <w:pPr>
        <w:spacing w:after="0" w:line="84" w:lineRule="exact"/>
        <w:rPr>
          <w:sz w:val="20"/>
          <w:szCs w:val="20"/>
          <w:color w:val="auto"/>
        </w:rPr>
      </w:pPr>
    </w:p>
    <w:p>
      <w:pPr>
        <w:ind w:left="980"/>
        <w:spacing w:after="0"/>
        <w:rPr>
          <w:sz w:val="20"/>
          <w:szCs w:val="20"/>
          <w:color w:val="auto"/>
        </w:rPr>
      </w:pPr>
      <w:r>
        <w:rPr>
          <w:rFonts w:ascii="Arial" w:cs="Arial" w:eastAsia="Arial" w:hAnsi="Arial"/>
          <w:sz w:val="25"/>
          <w:szCs w:val="25"/>
          <w:b w:val="1"/>
          <w:bCs w:val="1"/>
          <w:color w:val="00AE42"/>
        </w:rPr>
        <w:t>Funding and Financial Overview</w:t>
      </w:r>
    </w:p>
    <w:p>
      <w:pPr>
        <w:spacing w:after="0" w:line="61"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Cash Balance</w:t>
      </w:r>
    </w:p>
    <w:p>
      <w:pPr>
        <w:spacing w:after="0" w:line="30" w:lineRule="exact"/>
        <w:rPr>
          <w:sz w:val="20"/>
          <w:szCs w:val="20"/>
          <w:color w:val="auto"/>
        </w:rPr>
      </w:pPr>
    </w:p>
    <w:p>
      <w:pPr>
        <w:ind w:left="980"/>
        <w:spacing w:after="0"/>
        <w:rPr>
          <w:sz w:val="20"/>
          <w:szCs w:val="20"/>
          <w:color w:val="auto"/>
        </w:rPr>
      </w:pPr>
      <w:r>
        <w:rPr>
          <w:rFonts w:ascii="Arial" w:cs="Arial" w:eastAsia="Arial" w:hAnsi="Arial"/>
          <w:sz w:val="22"/>
          <w:szCs w:val="22"/>
          <w:color w:val="auto"/>
        </w:rPr>
        <w:t>The Company’s cash balance as of 30 September 2026 was US$33.652 million.</w:t>
      </w:r>
    </w:p>
    <w:p>
      <w:pPr>
        <w:spacing w:after="0" w:line="111"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Payments to Related Parties</w:t>
      </w:r>
    </w:p>
    <w:p>
      <w:pPr>
        <w:spacing w:after="0" w:line="12" w:lineRule="exact"/>
        <w:rPr>
          <w:sz w:val="20"/>
          <w:szCs w:val="20"/>
          <w:color w:val="auto"/>
        </w:rPr>
      </w:pPr>
    </w:p>
    <w:p>
      <w:pPr>
        <w:ind w:left="980" w:right="980"/>
        <w:spacing w:after="0"/>
        <w:rPr>
          <w:sz w:val="20"/>
          <w:szCs w:val="20"/>
          <w:color w:val="auto"/>
        </w:rPr>
      </w:pPr>
      <w:r>
        <w:rPr>
          <w:rFonts w:ascii="Arial" w:cs="Arial" w:eastAsia="Arial" w:hAnsi="Arial"/>
          <w:sz w:val="22"/>
          <w:szCs w:val="22"/>
          <w:color w:val="auto"/>
        </w:rPr>
        <w:t>A total of US$339,000 was paid to Directors and their associates for salary and wages, director fees, and superannuation during the quarter ended 30 September 2026.</w:t>
      </w:r>
    </w:p>
    <w:p>
      <w:pPr>
        <w:spacing w:after="0" w:line="255"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Capital Expenditures</w:t>
      </w:r>
    </w:p>
    <w:p>
      <w:pPr>
        <w:spacing w:after="0" w:line="12" w:lineRule="exact"/>
        <w:rPr>
          <w:sz w:val="20"/>
          <w:szCs w:val="20"/>
          <w:color w:val="auto"/>
        </w:rPr>
      </w:pPr>
    </w:p>
    <w:p>
      <w:pPr>
        <w:ind w:left="980" w:right="1280"/>
        <w:spacing w:after="0" w:line="237" w:lineRule="auto"/>
        <w:rPr>
          <w:sz w:val="20"/>
          <w:szCs w:val="20"/>
          <w:color w:val="auto"/>
        </w:rPr>
      </w:pPr>
      <w:r>
        <w:rPr>
          <w:rFonts w:ascii="Arial" w:cs="Arial" w:eastAsia="Arial" w:hAnsi="Arial"/>
          <w:sz w:val="22"/>
          <w:szCs w:val="22"/>
          <w:color w:val="auto"/>
        </w:rPr>
        <w:t>The Company invested US$8.36 million in property, plant, and equipment during the quarter ended 30 September 2026, primarily for production assets at its Riverside facility in Chattanooga, Tennessee.</w:t>
      </w:r>
    </w:p>
    <w:p>
      <w:pPr>
        <w:spacing w:after="0" w:line="95" w:lineRule="exact"/>
        <w:rPr>
          <w:sz w:val="20"/>
          <w:szCs w:val="20"/>
          <w:color w:val="auto"/>
        </w:rPr>
      </w:pPr>
    </w:p>
    <w:p>
      <w:pPr>
        <w:ind w:left="980" w:right="1320"/>
        <w:spacing w:after="0" w:line="236" w:lineRule="auto"/>
        <w:rPr>
          <w:sz w:val="20"/>
          <w:szCs w:val="20"/>
          <w:color w:val="auto"/>
        </w:rPr>
      </w:pPr>
      <w:r>
        <w:rPr>
          <w:rFonts w:ascii="Arial" w:cs="Arial" w:eastAsia="Arial" w:hAnsi="Arial"/>
          <w:sz w:val="22"/>
          <w:szCs w:val="22"/>
          <w:color w:val="auto"/>
        </w:rPr>
        <w:t>The Company continues to assess capital requirements and funding alternatives to support production readiness and future capacity. Funding remains subject to applicable conditions, commercial agreements, and capital-market and government-program availability. In September, the Company disclosed an amortisation event under its Yorkville convertible debenture arrangement arising from the share-price condition. As required under that arrangement, a US$7 million repayment occurred from cash reserves in each of September and October.</w:t>
      </w:r>
    </w:p>
    <w:p>
      <w:pPr>
        <w:spacing w:after="0" w:line="110" w:lineRule="exact"/>
        <w:rPr>
          <w:sz w:val="20"/>
          <w:szCs w:val="20"/>
          <w:color w:val="auto"/>
        </w:rPr>
      </w:pPr>
    </w:p>
    <w:p>
      <w:pPr>
        <w:ind w:left="980"/>
        <w:spacing w:after="0"/>
        <w:rPr>
          <w:sz w:val="20"/>
          <w:szCs w:val="20"/>
          <w:color w:val="auto"/>
        </w:rPr>
      </w:pPr>
      <w:r>
        <w:rPr>
          <w:rFonts w:ascii="Arial" w:cs="Arial" w:eastAsia="Arial" w:hAnsi="Arial"/>
          <w:sz w:val="25"/>
          <w:szCs w:val="25"/>
          <w:b w:val="1"/>
          <w:bCs w:val="1"/>
          <w:color w:val="00AE42"/>
        </w:rPr>
        <w:t>Events Subsequent to Quarter End</w:t>
      </w:r>
    </w:p>
    <w:p>
      <w:pPr>
        <w:spacing w:after="0" w:line="61"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ISO 9001 Certification</w:t>
      </w:r>
    </w:p>
    <w:p>
      <w:pPr>
        <w:spacing w:after="0" w:line="113" w:lineRule="exact"/>
        <w:rPr>
          <w:sz w:val="20"/>
          <w:szCs w:val="20"/>
          <w:color w:val="auto"/>
        </w:rPr>
      </w:pPr>
    </w:p>
    <w:p>
      <w:pPr>
        <w:ind w:left="980" w:right="1160"/>
        <w:spacing w:after="0" w:line="236" w:lineRule="auto"/>
        <w:rPr>
          <w:sz w:val="20"/>
          <w:szCs w:val="20"/>
          <w:color w:val="auto"/>
        </w:rPr>
      </w:pPr>
      <w:r>
        <w:rPr>
          <w:rFonts w:ascii="Arial" w:cs="Arial" w:eastAsia="Arial" w:hAnsi="Arial"/>
          <w:sz w:val="22"/>
          <w:szCs w:val="22"/>
          <w:color w:val="auto"/>
        </w:rPr>
        <w:t>In October 2026, NOVONIX announced that its Riverside facility in Chattanooga, Tennessee, achieved ISO 9001:2015 certification, an internationally recognized standard for quality management systems. The certification follows an independent assessment of the facility's quality management processes and demonstrates that NOVONIX has established systems designed to support consistent product quality, process control, traceability, continuous improvement, and customer satisfaction.</w:t>
      </w:r>
    </w:p>
    <w:p>
      <w:pPr>
        <w:spacing w:after="0" w:line="114" w:lineRule="exact"/>
        <w:rPr>
          <w:sz w:val="20"/>
          <w:szCs w:val="20"/>
          <w:color w:val="auto"/>
        </w:rPr>
      </w:pPr>
    </w:p>
    <w:p>
      <w:pPr>
        <w:ind w:left="980" w:right="1040"/>
        <w:spacing w:after="0" w:line="238" w:lineRule="auto"/>
        <w:rPr>
          <w:sz w:val="20"/>
          <w:szCs w:val="20"/>
          <w:color w:val="auto"/>
        </w:rPr>
      </w:pPr>
      <w:r>
        <w:rPr>
          <w:rFonts w:ascii="Arial" w:cs="Arial" w:eastAsia="Arial" w:hAnsi="Arial"/>
          <w:sz w:val="22"/>
          <w:szCs w:val="22"/>
          <w:color w:val="auto"/>
        </w:rPr>
        <w:t>Achieving ISO 9001 certification represents an important milestone in NOVONIX's progression toward commercial-scale production of synthetic graphite anode active material. The certification strengthens the Company's quality management infrastructure and supports its ability to meet the rigorous requirements of automotive battery manufacturers and other customers. It also represents an important step in NOVONIX's broader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977900</wp:posOffset>
            </wp:positionV>
            <wp:extent cx="576072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60720" cy="2540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1149350</wp:posOffset>
            </wp:positionV>
            <wp:extent cx="462915"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629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700" w:type="dxa"/>
            <w:vAlign w:val="bottom"/>
          </w:tcPr>
          <w:p>
            <w:pPr>
              <w:ind w:left="980"/>
              <w:spacing w:after="0"/>
              <w:rPr>
                <w:sz w:val="20"/>
                <w:szCs w:val="20"/>
                <w:color w:val="auto"/>
              </w:rPr>
            </w:pPr>
            <w:r>
              <w:rPr>
                <w:rFonts w:ascii="Arial" w:cs="Arial" w:eastAsia="Arial" w:hAnsi="Arial"/>
                <w:sz w:val="20"/>
                <w:szCs w:val="20"/>
                <w:color w:val="373A36"/>
              </w:rPr>
              <w:t>1029 West 19th Street, Chattanooga, Tennessee, USA, 37408 | novonixgroup.com</w:t>
            </w:r>
          </w:p>
        </w:tc>
        <w:tc>
          <w:tcPr>
            <w:tcW w:w="2340" w:type="dxa"/>
            <w:vAlign w:val="bottom"/>
          </w:tcPr>
          <w:p>
            <w:pPr>
              <w:jc w:val="right"/>
              <w:ind w:right="1681"/>
              <w:spacing w:after="0"/>
              <w:rPr>
                <w:sz w:val="20"/>
                <w:szCs w:val="20"/>
                <w:color w:val="auto"/>
              </w:rPr>
            </w:pPr>
            <w:r>
              <w:rPr>
                <w:rFonts w:ascii="Arial" w:cs="Arial" w:eastAsia="Arial" w:hAnsi="Arial"/>
                <w:sz w:val="20"/>
                <w:szCs w:val="20"/>
                <w:color w:val="auto"/>
              </w:rPr>
              <w:t>4</w:t>
            </w:r>
          </w:p>
        </w:tc>
      </w:tr>
      <w:tr>
        <w:trPr>
          <w:trHeight w:val="1171"/>
        </w:trPr>
        <w:tc>
          <w:tcPr>
            <w:tcW w:w="87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09" w:right="439" w:bottom="1440" w:gutter="0" w:footer="0" w:header="0"/>
        </w:sectPr>
      </w:pPr>
    </w:p>
    <w:bookmarkStart w:id="7" w:name="page8"/>
    <w:bookmarkEnd w:id="7"/>
    <w:p>
      <w:pPr>
        <w:spacing w:after="0" w:line="1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260350</wp:posOffset>
            </wp:positionV>
            <wp:extent cx="2374265" cy="8058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374265" cy="805815"/>
                    </a:xfrm>
                    <a:prstGeom prst="rect">
                      <a:avLst/>
                    </a:prstGeom>
                    <a:noFill/>
                  </pic:spPr>
                </pic:pic>
              </a:graphicData>
            </a:graphic>
          </wp:anchor>
        </w:drawing>
      </w:r>
    </w:p>
    <w:p>
      <w:pPr>
        <w:ind w:left="980" w:right="1380"/>
        <w:spacing w:after="0" w:line="259" w:lineRule="auto"/>
        <w:rPr>
          <w:sz w:val="20"/>
          <w:szCs w:val="20"/>
          <w:color w:val="auto"/>
        </w:rPr>
      </w:pPr>
      <w:r>
        <w:rPr>
          <w:rFonts w:ascii="Arial" w:cs="Arial" w:eastAsia="Arial" w:hAnsi="Arial"/>
          <w:sz w:val="22"/>
          <w:szCs w:val="22"/>
          <w:color w:val="auto"/>
        </w:rPr>
        <w:t>strategy as the Company advances customer qualification activities and prepares for future production at Riverside.</w:t>
      </w:r>
    </w:p>
    <w:p>
      <w:pPr>
        <w:spacing w:after="0" w:line="75" w:lineRule="exact"/>
        <w:rPr>
          <w:sz w:val="20"/>
          <w:szCs w:val="20"/>
          <w:color w:val="auto"/>
        </w:rPr>
      </w:pPr>
    </w:p>
    <w:p>
      <w:pPr>
        <w:ind w:left="980" w:right="1720"/>
        <w:spacing w:after="0" w:line="259" w:lineRule="auto"/>
        <w:rPr>
          <w:sz w:val="20"/>
          <w:szCs w:val="20"/>
          <w:color w:val="auto"/>
        </w:rPr>
      </w:pPr>
      <w:r>
        <w:rPr>
          <w:rFonts w:ascii="Arial" w:cs="Arial" w:eastAsia="Arial" w:hAnsi="Arial"/>
          <w:sz w:val="22"/>
          <w:szCs w:val="22"/>
          <w:color w:val="auto"/>
        </w:rPr>
        <w:t>The certification does not itself constitute customer product qualification, which remains subject to each customer's applicable testing and approval requirements.</w:t>
      </w:r>
    </w:p>
    <w:p>
      <w:pPr>
        <w:spacing w:after="0" w:line="87"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PowerCo Supply Agreement</w:t>
      </w:r>
    </w:p>
    <w:p>
      <w:pPr>
        <w:spacing w:after="0" w:line="141" w:lineRule="exact"/>
        <w:rPr>
          <w:sz w:val="20"/>
          <w:szCs w:val="20"/>
          <w:color w:val="auto"/>
        </w:rPr>
      </w:pPr>
    </w:p>
    <w:p>
      <w:pPr>
        <w:ind w:left="980" w:right="1060"/>
        <w:spacing w:after="0" w:line="246" w:lineRule="auto"/>
        <w:rPr>
          <w:sz w:val="20"/>
          <w:szCs w:val="20"/>
          <w:color w:val="auto"/>
        </w:rPr>
      </w:pPr>
      <w:r>
        <w:rPr>
          <w:rFonts w:ascii="Arial" w:cs="Arial" w:eastAsia="Arial" w:hAnsi="Arial"/>
          <w:sz w:val="21"/>
          <w:szCs w:val="21"/>
          <w:color w:val="auto"/>
        </w:rPr>
        <w:t>In October 2026, NOVONIX and PowerCo SE entered into an Amended and Restated Supply Framework Agreement, replacing the previous binding offtake agreement. The revised agreement reflects evolving market conditions and PowerCo's updated production plans for its battery manufacturing facility in St. Thomas, Ontario, where commencement of production has been deferred from 2027 to 2029. Under the revised framework, the parties have removed the previous volume, pricing, and delivery commitments and intend to negotiate new commercial terms following completion of PowerCo's qualification process and required certifications. The agreement maintains the parties' commercial relationship while providing flexibility to align future supply arrangements with PowerCo's revised production schedule and market demand.</w:t>
      </w:r>
    </w:p>
    <w:p>
      <w:pPr>
        <w:spacing w:after="0" w:line="96" w:lineRule="exact"/>
        <w:rPr>
          <w:sz w:val="20"/>
          <w:szCs w:val="20"/>
          <w:color w:val="auto"/>
        </w:rPr>
      </w:pPr>
    </w:p>
    <w:p>
      <w:pPr>
        <w:ind w:left="980"/>
        <w:spacing w:after="0"/>
        <w:rPr>
          <w:sz w:val="20"/>
          <w:szCs w:val="20"/>
          <w:color w:val="auto"/>
        </w:rPr>
      </w:pPr>
      <w:r>
        <w:rPr>
          <w:rFonts w:ascii="Arial" w:cs="Arial" w:eastAsia="Arial" w:hAnsi="Arial"/>
          <w:sz w:val="25"/>
          <w:szCs w:val="25"/>
          <w:b w:val="1"/>
          <w:bCs w:val="1"/>
          <w:color w:val="00AE42"/>
        </w:rPr>
        <w:t>Outlook</w:t>
      </w:r>
    </w:p>
    <w:p>
      <w:pPr>
        <w:spacing w:after="0" w:line="61" w:lineRule="exact"/>
        <w:rPr>
          <w:sz w:val="20"/>
          <w:szCs w:val="20"/>
          <w:color w:val="auto"/>
        </w:rPr>
      </w:pPr>
    </w:p>
    <w:p>
      <w:pPr>
        <w:ind w:left="980" w:right="1020"/>
        <w:spacing w:after="0" w:line="232" w:lineRule="auto"/>
        <w:rPr>
          <w:sz w:val="20"/>
          <w:szCs w:val="20"/>
          <w:color w:val="auto"/>
        </w:rPr>
      </w:pPr>
      <w:r>
        <w:rPr>
          <w:rFonts w:ascii="Arial" w:cs="Arial" w:eastAsia="Arial" w:hAnsi="Arial"/>
          <w:sz w:val="22"/>
          <w:szCs w:val="22"/>
          <w:color w:val="auto"/>
        </w:rPr>
        <w:t>In the near term, the Company's priorities remain focused on advancing customer qualification and developing synthetic graphite AAM to address evolving customer requirements across the energy storage systems (ESS) and electric vehicle markets. Building on the momentum of its recent ISO 9001 certification, the Company continues to advance facility readiness, strengthen quality systems, and refine manufacturing operations to support consistent product deliveries at commercial scale. Alongside these operational priorities, cost discipline and strategic financing remain central to the Company's financial strategy, with continued efforts to optimize operating expenses and engagement with institutional investors and strategic financing partners to strengthen its balance sheet and support its next stage of commercial growth. The Company also continues to engage with the U.S. Government on policy initiatives aimed at strengthening the domestic AAM industry and supporting a competitive environment for U.S.-based synthetic graphite AAM production.</w:t>
      </w:r>
    </w:p>
    <w:p>
      <w:pPr>
        <w:spacing w:after="0" w:line="120" w:lineRule="exact"/>
        <w:rPr>
          <w:sz w:val="20"/>
          <w:szCs w:val="20"/>
          <w:color w:val="auto"/>
        </w:rPr>
      </w:pPr>
    </w:p>
    <w:p>
      <w:pPr>
        <w:ind w:left="980"/>
        <w:spacing w:after="0"/>
        <w:rPr>
          <w:sz w:val="20"/>
          <w:szCs w:val="20"/>
          <w:color w:val="auto"/>
        </w:rPr>
      </w:pPr>
      <w:r>
        <w:rPr>
          <w:rFonts w:ascii="Arial" w:cs="Arial" w:eastAsia="Arial" w:hAnsi="Arial"/>
          <w:sz w:val="25"/>
          <w:szCs w:val="25"/>
          <w:b w:val="1"/>
          <w:bCs w:val="1"/>
          <w:color w:val="00AE42"/>
        </w:rPr>
        <w:t>About NOVONIX</w:t>
      </w:r>
    </w:p>
    <w:p>
      <w:pPr>
        <w:spacing w:after="0" w:line="143" w:lineRule="exact"/>
        <w:rPr>
          <w:sz w:val="20"/>
          <w:szCs w:val="20"/>
          <w:color w:val="auto"/>
        </w:rPr>
      </w:pPr>
    </w:p>
    <w:p>
      <w:pPr>
        <w:ind w:left="980" w:right="1100"/>
        <w:spacing w:after="0" w:line="238" w:lineRule="auto"/>
        <w:rPr>
          <w:sz w:val="20"/>
          <w:szCs w:val="20"/>
          <w:color w:val="auto"/>
        </w:rPr>
      </w:pPr>
      <w:r>
        <w:rPr>
          <w:rFonts w:ascii="Arial" w:cs="Arial" w:eastAsia="Arial" w:hAnsi="Arial"/>
          <w:sz w:val="22"/>
          <w:szCs w:val="22"/>
          <w:color w:val="auto"/>
        </w:rPr>
        <w:t>NOVONIX strives to reduce supply chain risk, support U.S. energy independence, and establish a resilient battery materials supply chain. The company is building a North American platform for critical battery materials at its Chattanooga, Tennessee headquarters and anode materials operations. NOVONIX is positioned as a supplier of advanced battery materials and technologies powering the energy storage and electrification economy.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1260475</wp:posOffset>
            </wp:positionV>
            <wp:extent cx="576072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60720" cy="2540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1431925</wp:posOffset>
            </wp:positionV>
            <wp:extent cx="462915" cy="428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629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700" w:type="dxa"/>
            <w:vAlign w:val="bottom"/>
          </w:tcPr>
          <w:p>
            <w:pPr>
              <w:ind w:left="980"/>
              <w:spacing w:after="0"/>
              <w:rPr>
                <w:sz w:val="20"/>
                <w:szCs w:val="20"/>
                <w:color w:val="auto"/>
              </w:rPr>
            </w:pPr>
            <w:r>
              <w:rPr>
                <w:rFonts w:ascii="Arial" w:cs="Arial" w:eastAsia="Arial" w:hAnsi="Arial"/>
                <w:sz w:val="20"/>
                <w:szCs w:val="20"/>
                <w:color w:val="373A36"/>
              </w:rPr>
              <w:t>1029 West 19th Street, Chattanooga, Tennessee, USA, 37408 | novonixgroup.com</w:t>
            </w:r>
          </w:p>
        </w:tc>
        <w:tc>
          <w:tcPr>
            <w:tcW w:w="2340" w:type="dxa"/>
            <w:vAlign w:val="bottom"/>
          </w:tcPr>
          <w:p>
            <w:pPr>
              <w:jc w:val="right"/>
              <w:ind w:right="1681"/>
              <w:spacing w:after="0"/>
              <w:rPr>
                <w:sz w:val="20"/>
                <w:szCs w:val="20"/>
                <w:color w:val="auto"/>
              </w:rPr>
            </w:pPr>
            <w:r>
              <w:rPr>
                <w:rFonts w:ascii="Arial" w:cs="Arial" w:eastAsia="Arial" w:hAnsi="Arial"/>
                <w:sz w:val="20"/>
                <w:szCs w:val="20"/>
                <w:color w:val="auto"/>
              </w:rPr>
              <w:t>5</w:t>
            </w:r>
          </w:p>
        </w:tc>
      </w:tr>
      <w:tr>
        <w:trPr>
          <w:trHeight w:val="1171"/>
        </w:trPr>
        <w:tc>
          <w:tcPr>
            <w:tcW w:w="87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8" w:name="page9"/>
    <w:bookmarkEnd w:id="8"/>
    <w:p>
      <w:pPr>
        <w:ind w:left="9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628015</wp:posOffset>
            </wp:positionH>
            <wp:positionV relativeFrom="page">
              <wp:posOffset>260350</wp:posOffset>
            </wp:positionV>
            <wp:extent cx="2374265" cy="8058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2374265" cy="805815"/>
                    </a:xfrm>
                    <a:prstGeom prst="rect">
                      <a:avLst/>
                    </a:prstGeom>
                    <a:noFill/>
                  </pic:spPr>
                </pic:pic>
              </a:graphicData>
            </a:graphic>
          </wp:anchor>
        </w:drawing>
        <w:t>To learn more, visit www.novonixgroup.com or follow us on LinkedIn and X.</w:t>
      </w:r>
    </w:p>
    <w:p>
      <w:pPr>
        <w:spacing w:after="0" w:line="27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For NOVONIX Limited</w:t>
      </w:r>
    </w:p>
    <w:p>
      <w:pPr>
        <w:ind w:left="980"/>
        <w:spacing w:after="0"/>
        <w:rPr>
          <w:sz w:val="20"/>
          <w:szCs w:val="20"/>
          <w:color w:val="auto"/>
        </w:rPr>
      </w:pPr>
      <w:r>
        <w:rPr>
          <w:rFonts w:ascii="Arial" w:cs="Arial" w:eastAsia="Arial" w:hAnsi="Arial"/>
          <w:sz w:val="22"/>
          <w:szCs w:val="22"/>
          <w:color w:val="auto"/>
        </w:rPr>
        <w:t>Investors: ir@novonixgroup.com</w:t>
      </w:r>
    </w:p>
    <w:p>
      <w:pPr>
        <w:ind w:left="980"/>
        <w:spacing w:after="0"/>
        <w:rPr>
          <w:sz w:val="20"/>
          <w:szCs w:val="20"/>
          <w:color w:val="auto"/>
        </w:rPr>
      </w:pPr>
      <w:r>
        <w:rPr>
          <w:rFonts w:ascii="Arial" w:cs="Arial" w:eastAsia="Arial" w:hAnsi="Arial"/>
          <w:sz w:val="22"/>
          <w:szCs w:val="22"/>
          <w:color w:val="auto"/>
        </w:rPr>
        <w:t>Media: media@novonixgroup.com</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25"/>
          <w:szCs w:val="25"/>
          <w:b w:val="1"/>
          <w:bCs w:val="1"/>
          <w:color w:val="00AE42"/>
        </w:rPr>
        <w:t>Authorization and Disclaimers</w:t>
      </w:r>
    </w:p>
    <w:p>
      <w:pPr>
        <w:spacing w:after="0" w:line="61" w:lineRule="exact"/>
        <w:rPr>
          <w:sz w:val="20"/>
          <w:szCs w:val="20"/>
          <w:color w:val="auto"/>
        </w:rPr>
      </w:pPr>
    </w:p>
    <w:p>
      <w:pPr>
        <w:ind w:left="980" w:right="1160"/>
        <w:spacing w:after="0" w:line="247" w:lineRule="auto"/>
        <w:rPr>
          <w:sz w:val="20"/>
          <w:szCs w:val="20"/>
          <w:color w:val="auto"/>
        </w:rPr>
      </w:pPr>
      <w:r>
        <w:rPr>
          <w:rFonts w:ascii="Arial" w:cs="Arial" w:eastAsia="Arial" w:hAnsi="Arial"/>
          <w:sz w:val="22"/>
          <w:szCs w:val="22"/>
          <w:color w:val="auto"/>
        </w:rPr>
        <w:t>This announcement has been authorized for release by NOVONIX Chairman, Admiral Robert J. Natter, USN Ret.</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12" w:lineRule="exact"/>
        <w:rPr>
          <w:sz w:val="20"/>
          <w:szCs w:val="20"/>
          <w:color w:val="auto"/>
        </w:rPr>
      </w:pPr>
    </w:p>
    <w:p>
      <w:pPr>
        <w:ind w:left="980" w:right="1060"/>
        <w:spacing w:after="0" w:line="242" w:lineRule="auto"/>
        <w:rPr>
          <w:sz w:val="20"/>
          <w:szCs w:val="20"/>
          <w:color w:val="auto"/>
        </w:rPr>
      </w:pPr>
      <w:r>
        <w:rPr>
          <w:rFonts w:ascii="Arial" w:cs="Arial" w:eastAsia="Arial" w:hAnsi="Arial"/>
          <w:sz w:val="21"/>
          <w:szCs w:val="21"/>
          <w:color w:val="auto"/>
        </w:rPr>
        <w:t>This report contains forward-looking statements about the Company and the industry in which it operates. Forward-looking statements can generally be identified by use of words such as “anticipate,” “believe,” “contemplate,” “continue,” “could,” “estimate,” “expect,” “intend,” “may,” “plan,” “potential,” “predict,” “project,” “should,” “target,” “will,” or “would,” or other similar expressions. Examples of forward-looking statements in this report include, among others, statements made regarding: anticipated sample submission, qualification, production and shipping timelines; anticipated validation of samples and completion of any qualification process; progress and timing of scaling and commencement of commercial production at the Riverside facility; anticipated potential offtake, supply, development, and other agreements or revisions thereto; the potential benefits or impacts of current or future ISO certifications; amortization events or the funding thereof; the impacts of economic uncertainty, tariffs, duties, and other legislation on the timely achievement of targets and customer milestones; the intent, effects and timing of government policies, regulations, tariffs, duties, and other measures and the potential benefits thereof; certain entities’ supply or future supply to the U.S. Market; ability to obtain or maintain and benefit from additional government funding, tax credits, and other support (both foreign and domestic); potential changes to tax credit, tariff, or other programs; the outcome, impact or benefit of ongoing or additional trade investigations and negotiations; our participation in legal or policy measures in the future; anticipated market growth and capacity demands; our market position in general; and efforts to help localize and strengthen the battery supply chain for critical materials and play a leading role in the transition to cleaner energy solutions and long-term energy security.</w:t>
      </w:r>
    </w:p>
    <w:p>
      <w:pPr>
        <w:spacing w:after="0" w:line="118" w:lineRule="exact"/>
        <w:rPr>
          <w:sz w:val="20"/>
          <w:szCs w:val="20"/>
          <w:color w:val="auto"/>
        </w:rPr>
      </w:pPr>
    </w:p>
    <w:p>
      <w:pPr>
        <w:ind w:left="980" w:right="1040"/>
        <w:spacing w:after="0" w:line="236" w:lineRule="auto"/>
        <w:rPr>
          <w:sz w:val="20"/>
          <w:szCs w:val="20"/>
          <w:color w:val="auto"/>
        </w:rPr>
      </w:pPr>
      <w:r>
        <w:rPr>
          <w:rFonts w:ascii="Arial" w:cs="Arial" w:eastAsia="Arial" w:hAnsi="Arial"/>
          <w:sz w:val="22"/>
          <w:szCs w:val="22"/>
          <w:color w:val="auto"/>
        </w:rPr>
        <w:t>The Company has based such statements on current expectations and projections about future events and trends that it believes may affect its financial condition, results of operations, business strategy and financial needs. Such forward-looking statements involve and are subject to known and unknown risks, uncertainties and other factors which may cause actual results, performance or achievements to be materially different from any future results, performance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1169035</wp:posOffset>
            </wp:positionV>
            <wp:extent cx="576072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60720" cy="2540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1340485</wp:posOffset>
            </wp:positionV>
            <wp:extent cx="462915" cy="428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29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700" w:type="dxa"/>
            <w:vAlign w:val="bottom"/>
          </w:tcPr>
          <w:p>
            <w:pPr>
              <w:ind w:left="980"/>
              <w:spacing w:after="0"/>
              <w:rPr>
                <w:sz w:val="20"/>
                <w:szCs w:val="20"/>
                <w:color w:val="auto"/>
              </w:rPr>
            </w:pPr>
            <w:r>
              <w:rPr>
                <w:rFonts w:ascii="Arial" w:cs="Arial" w:eastAsia="Arial" w:hAnsi="Arial"/>
                <w:sz w:val="20"/>
                <w:szCs w:val="20"/>
                <w:color w:val="373A36"/>
              </w:rPr>
              <w:t>1029 West 19th Street, Chattanooga, Tennessee, USA, 37408 | novonixgroup.com</w:t>
            </w:r>
          </w:p>
        </w:tc>
        <w:tc>
          <w:tcPr>
            <w:tcW w:w="2340" w:type="dxa"/>
            <w:vAlign w:val="bottom"/>
          </w:tcPr>
          <w:p>
            <w:pPr>
              <w:jc w:val="right"/>
              <w:ind w:right="1681"/>
              <w:spacing w:after="0"/>
              <w:rPr>
                <w:sz w:val="20"/>
                <w:szCs w:val="20"/>
                <w:color w:val="auto"/>
              </w:rPr>
            </w:pPr>
            <w:r>
              <w:rPr>
                <w:rFonts w:ascii="Arial" w:cs="Arial" w:eastAsia="Arial" w:hAnsi="Arial"/>
                <w:sz w:val="20"/>
                <w:szCs w:val="20"/>
                <w:color w:val="auto"/>
              </w:rPr>
              <w:t>6</w:t>
            </w:r>
          </w:p>
        </w:tc>
      </w:tr>
      <w:tr>
        <w:trPr>
          <w:trHeight w:val="1171"/>
        </w:trPr>
        <w:tc>
          <w:tcPr>
            <w:tcW w:w="87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09" w:right="439" w:bottom="1440" w:gutter="0" w:footer="0" w:header="0"/>
        </w:sectPr>
      </w:pPr>
    </w:p>
    <w:bookmarkStart w:id="9" w:name="page10"/>
    <w:bookmarkEnd w:id="9"/>
    <w:p>
      <w:pPr>
        <w:ind w:left="980" w:right="1020"/>
        <w:spacing w:after="0" w:line="244"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628015</wp:posOffset>
            </wp:positionH>
            <wp:positionV relativeFrom="page">
              <wp:posOffset>260350</wp:posOffset>
            </wp:positionV>
            <wp:extent cx="2374265" cy="8058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2374265" cy="805815"/>
                    </a:xfrm>
                    <a:prstGeom prst="rect">
                      <a:avLst/>
                    </a:prstGeom>
                    <a:noFill/>
                  </pic:spPr>
                </pic:pic>
              </a:graphicData>
            </a:graphic>
          </wp:anchor>
        </w:drawing>
        <w:t>achievements expressed or implied by the forward-looking statements. Such factors include, among others, the timely deployment and scaling of its furnace technology, ability to meet the technical specifications and demand of existing and future customers, the accuracy of estimates regarding market size, expenses, future revenue, capital requirements, its needs and access to additional financing, the availability and impact and compliance with the applicable terms of government funding and other support, the ability to obtain patent rights effective to protect its technologies and processes and successfully defend any challenges to such rights and prevent others from commercializing such technologies and processes, and legal and regulatory developments in the United States, Australia, and other jurisdictions. These and other factors that could affect its business and results are included in its filings with the U.S. Securities and Exchange Commission (“SEC”), including the Company’s most recent annual report on Form 20-F. Copies of these filings may be obtained by visiting the Company’s Investor Relations website at www.novonixgroup.com or the SEC's website at www.sec.gov.</w:t>
      </w:r>
    </w:p>
    <w:p>
      <w:pPr>
        <w:spacing w:after="0" w:line="116" w:lineRule="exact"/>
        <w:rPr>
          <w:sz w:val="20"/>
          <w:szCs w:val="20"/>
          <w:color w:val="auto"/>
        </w:rPr>
      </w:pPr>
    </w:p>
    <w:p>
      <w:pPr>
        <w:ind w:left="980" w:right="1020"/>
        <w:spacing w:after="0" w:line="247" w:lineRule="auto"/>
        <w:rPr>
          <w:sz w:val="20"/>
          <w:szCs w:val="20"/>
          <w:color w:val="auto"/>
        </w:rPr>
      </w:pPr>
      <w:r>
        <w:rPr>
          <w:rFonts w:ascii="Arial" w:cs="Arial" w:eastAsia="Arial" w:hAnsi="Arial"/>
          <w:sz w:val="21"/>
          <w:szCs w:val="21"/>
          <w:color w:val="auto"/>
        </w:rPr>
        <w:t>Forward-looking statements are not guarantees of future performance or outcomes, and actual performance and outcomes may differ materially from those made in or suggested by the forward-looking statements contained in this report. Accordingly, recipients of this report should not place undue reliance on forward-looking statements. Any forward-looking statement in this report is based only on information currently available to us and speaks only as of the date on which it is made. The Company undertakes no obligation to update any forward-looking statement, whether written or oral, that may be made from time to time, whether as a result of new information, future developments or otherwise, except as required by law.</w:t>
      </w:r>
    </w:p>
    <w:p>
      <w:pPr>
        <w:spacing w:after="0" w:line="89"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Industry and Market Data</w:t>
      </w:r>
    </w:p>
    <w:p>
      <w:pPr>
        <w:spacing w:after="0" w:line="12" w:lineRule="exact"/>
        <w:rPr>
          <w:sz w:val="20"/>
          <w:szCs w:val="20"/>
          <w:color w:val="auto"/>
        </w:rPr>
      </w:pPr>
    </w:p>
    <w:p>
      <w:pPr>
        <w:ind w:left="980" w:right="1080"/>
        <w:spacing w:after="0" w:line="245" w:lineRule="auto"/>
        <w:rPr>
          <w:sz w:val="20"/>
          <w:szCs w:val="20"/>
          <w:color w:val="auto"/>
        </w:rPr>
      </w:pPr>
      <w:r>
        <w:rPr>
          <w:rFonts w:ascii="Arial" w:cs="Arial" w:eastAsia="Arial" w:hAnsi="Arial"/>
          <w:sz w:val="21"/>
          <w:szCs w:val="21"/>
          <w:color w:val="auto"/>
        </w:rPr>
        <w:t>This Report contains estimates and information concerning the Company’s industry and business, including estimated market share in the markets for its products. Unless otherwise expressly stated, the Company obtained this industry, business, market, and other information from reports, research surveys, studies, and similar data prepared by third parties, industry, general publications, government data, and similar sources. This Report also includes certain information and data that is derived from internal research. While the Company’s believes that its internal research is reliable, such research has not been verified by any third party.</w:t>
      </w:r>
    </w:p>
    <w:p>
      <w:pPr>
        <w:spacing w:after="0" w:line="104" w:lineRule="exact"/>
        <w:rPr>
          <w:sz w:val="20"/>
          <w:szCs w:val="20"/>
          <w:color w:val="auto"/>
        </w:rPr>
      </w:pPr>
    </w:p>
    <w:p>
      <w:pPr>
        <w:ind w:left="980" w:right="1040"/>
        <w:spacing w:after="0" w:line="251" w:lineRule="auto"/>
        <w:rPr>
          <w:sz w:val="20"/>
          <w:szCs w:val="20"/>
          <w:color w:val="auto"/>
        </w:rPr>
      </w:pPr>
      <w:r>
        <w:rPr>
          <w:rFonts w:ascii="Arial" w:cs="Arial" w:eastAsia="Arial" w:hAnsi="Arial"/>
          <w:sz w:val="21"/>
          <w:szCs w:val="21"/>
          <w:color w:val="auto"/>
        </w:rPr>
        <w:t>Estimates and information concerning the Company’s industry and business involve a number of assumptions and limitations. Although the Company is responsible for all the disclosures contained in this Report and it believes the third-party market position, market opportunity, and market size data included in this Report are reliable, it has not independently verified the accuracy or completeness of this third-party data. Information that is based on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1555115</wp:posOffset>
            </wp:positionV>
            <wp:extent cx="576072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60720" cy="2603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1726565</wp:posOffset>
            </wp:positionV>
            <wp:extent cx="462915" cy="4286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29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700" w:type="dxa"/>
            <w:vAlign w:val="bottom"/>
          </w:tcPr>
          <w:p>
            <w:pPr>
              <w:ind w:left="980"/>
              <w:spacing w:after="0"/>
              <w:rPr>
                <w:sz w:val="20"/>
                <w:szCs w:val="20"/>
                <w:color w:val="auto"/>
              </w:rPr>
            </w:pPr>
            <w:r>
              <w:rPr>
                <w:rFonts w:ascii="Arial" w:cs="Arial" w:eastAsia="Arial" w:hAnsi="Arial"/>
                <w:sz w:val="20"/>
                <w:szCs w:val="20"/>
                <w:color w:val="373A36"/>
              </w:rPr>
              <w:t>1029 West 19th Street, Chattanooga, Tennessee, USA, 37408 | novonixgroup.com</w:t>
            </w:r>
          </w:p>
        </w:tc>
        <w:tc>
          <w:tcPr>
            <w:tcW w:w="2340" w:type="dxa"/>
            <w:vAlign w:val="bottom"/>
          </w:tcPr>
          <w:p>
            <w:pPr>
              <w:jc w:val="right"/>
              <w:ind w:right="1681"/>
              <w:spacing w:after="0"/>
              <w:rPr>
                <w:sz w:val="20"/>
                <w:szCs w:val="20"/>
                <w:color w:val="auto"/>
              </w:rPr>
            </w:pPr>
            <w:r>
              <w:rPr>
                <w:rFonts w:ascii="Arial" w:cs="Arial" w:eastAsia="Arial" w:hAnsi="Arial"/>
                <w:sz w:val="20"/>
                <w:szCs w:val="20"/>
                <w:color w:val="auto"/>
              </w:rPr>
              <w:t>7</w:t>
            </w:r>
          </w:p>
        </w:tc>
      </w:tr>
      <w:tr>
        <w:trPr>
          <w:trHeight w:val="1172"/>
        </w:trPr>
        <w:tc>
          <w:tcPr>
            <w:tcW w:w="87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09" w:right="439" w:bottom="1440" w:gutter="0" w:footer="0" w:header="0"/>
        </w:sectPr>
      </w:pPr>
    </w:p>
    <w:bookmarkStart w:id="10" w:name="page11"/>
    <w:bookmarkEnd w:id="10"/>
    <w:p>
      <w:pPr>
        <w:ind w:left="980" w:right="116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628015</wp:posOffset>
            </wp:positionH>
            <wp:positionV relativeFrom="page">
              <wp:posOffset>260350</wp:posOffset>
            </wp:positionV>
            <wp:extent cx="2374265" cy="8058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2374265" cy="805815"/>
                    </a:xfrm>
                    <a:prstGeom prst="rect">
                      <a:avLst/>
                    </a:prstGeom>
                    <a:noFill/>
                  </pic:spPr>
                </pic:pic>
              </a:graphicData>
            </a:graphic>
          </wp:anchor>
        </w:drawing>
        <w:t>assumptions, and estimates of future performance and the future performance of the industry in which it operates is necessarily subject to a high degree of uncertainty and risk due to a variety of factors, which could cause results to differ materially from those expressed in these publications and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6463665</wp:posOffset>
            </wp:positionV>
            <wp:extent cx="576072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60720" cy="2603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6635115</wp:posOffset>
            </wp:positionV>
            <wp:extent cx="462915" cy="428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29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700" w:type="dxa"/>
            <w:vAlign w:val="bottom"/>
          </w:tcPr>
          <w:p>
            <w:pPr>
              <w:ind w:left="980"/>
              <w:spacing w:after="0"/>
              <w:rPr>
                <w:sz w:val="20"/>
                <w:szCs w:val="20"/>
                <w:color w:val="auto"/>
              </w:rPr>
            </w:pPr>
            <w:r>
              <w:rPr>
                <w:rFonts w:ascii="Arial" w:cs="Arial" w:eastAsia="Arial" w:hAnsi="Arial"/>
                <w:sz w:val="20"/>
                <w:szCs w:val="20"/>
                <w:color w:val="373A36"/>
              </w:rPr>
              <w:t>1029 West 19th Street, Chattanooga, Tennessee, USA, 37408 | novonixgroup.com</w:t>
            </w:r>
          </w:p>
        </w:tc>
        <w:tc>
          <w:tcPr>
            <w:tcW w:w="2340" w:type="dxa"/>
            <w:vAlign w:val="bottom"/>
          </w:tcPr>
          <w:p>
            <w:pPr>
              <w:jc w:val="right"/>
              <w:ind w:right="1681"/>
              <w:spacing w:after="0"/>
              <w:rPr>
                <w:sz w:val="20"/>
                <w:szCs w:val="20"/>
                <w:color w:val="auto"/>
              </w:rPr>
            </w:pPr>
            <w:r>
              <w:rPr>
                <w:rFonts w:ascii="Arial" w:cs="Arial" w:eastAsia="Arial" w:hAnsi="Arial"/>
                <w:sz w:val="20"/>
                <w:szCs w:val="20"/>
                <w:color w:val="auto"/>
              </w:rPr>
              <w:t>8</w:t>
            </w:r>
          </w:p>
        </w:tc>
      </w:tr>
      <w:tr>
        <w:trPr>
          <w:trHeight w:val="1172"/>
        </w:trPr>
        <w:tc>
          <w:tcPr>
            <w:tcW w:w="87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09" w:right="439" w:bottom="1440" w:gutter="0" w:footer="0" w:header="0"/>
        </w:sectPr>
      </w:pPr>
    </w:p>
    <w:bookmarkStart w:id="11" w:name="page12"/>
    <w:bookmarkEnd w:id="11"/>
    <w:p>
      <w:pPr>
        <w:jc w:val="center"/>
        <w:spacing w:after="0"/>
        <w:rPr>
          <w:sz w:val="20"/>
          <w:szCs w:val="20"/>
          <w:color w:val="auto"/>
        </w:rPr>
      </w:pPr>
      <w:r>
        <w:rPr>
          <w:rFonts w:ascii="Arial" w:cs="Arial" w:eastAsia="Arial" w:hAnsi="Arial"/>
          <w:sz w:val="32"/>
          <w:szCs w:val="32"/>
          <w:b w:val="1"/>
          <w:bCs w:val="1"/>
          <w:color w:val="00AE42"/>
        </w:rPr>
        <w:drawing>
          <wp:anchor simplePos="0" relativeHeight="251657728" behindDoc="1" locked="0" layoutInCell="0" allowOverlap="1">
            <wp:simplePos x="0" y="0"/>
            <wp:positionH relativeFrom="page">
              <wp:posOffset>628015</wp:posOffset>
            </wp:positionH>
            <wp:positionV relativeFrom="page">
              <wp:posOffset>260350</wp:posOffset>
            </wp:positionV>
            <wp:extent cx="2374265" cy="8058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2374265" cy="805815"/>
                    </a:xfrm>
                    <a:prstGeom prst="rect">
                      <a:avLst/>
                    </a:prstGeom>
                    <a:noFill/>
                  </pic:spPr>
                </pic:pic>
              </a:graphicData>
            </a:graphic>
          </wp:anchor>
        </w:drawing>
        <w:t>Appendix 4C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Quarterly cash flow report for entities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subject to Listing Rule 4.7B</w:t>
      </w:r>
    </w:p>
    <w:p>
      <w:pPr>
        <w:spacing w:after="0" w:line="187" w:lineRule="exact"/>
        <w:rPr>
          <w:sz w:val="20"/>
          <w:szCs w:val="20"/>
          <w:color w:val="auto"/>
        </w:rPr>
      </w:pPr>
    </w:p>
    <w:p>
      <w:pPr>
        <w:ind w:left="1080"/>
        <w:spacing w:after="0"/>
        <w:rPr>
          <w:sz w:val="20"/>
          <w:szCs w:val="20"/>
          <w:color w:val="auto"/>
        </w:rPr>
      </w:pPr>
      <w:r>
        <w:rPr>
          <w:rFonts w:ascii="Arial" w:cs="Arial" w:eastAsia="Arial" w:hAnsi="Arial"/>
          <w:sz w:val="20"/>
          <w:szCs w:val="20"/>
          <w:b w:val="1"/>
          <w:bCs w:val="1"/>
          <w:color w:val="auto"/>
        </w:rPr>
        <w:t>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74930</wp:posOffset>
            </wp:positionV>
            <wp:extent cx="5760720" cy="3257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60720" cy="325755"/>
                    </a:xfrm>
                    <a:prstGeom prst="rect">
                      <a:avLst/>
                    </a:prstGeom>
                    <a:noFill/>
                  </pic:spPr>
                </pic:pic>
              </a:graphicData>
            </a:graphic>
          </wp:anchor>
        </w:drawing>
      </w:r>
    </w:p>
    <w:p>
      <w:pPr>
        <w:spacing w:after="0" w:line="198"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NOVONIX LIMITED</w:t>
      </w:r>
    </w:p>
    <w:p>
      <w:pPr>
        <w:spacing w:after="0" w:line="268" w:lineRule="exact"/>
        <w:rPr>
          <w:sz w:val="20"/>
          <w:szCs w:val="20"/>
          <w:color w:val="auto"/>
        </w:rPr>
      </w:pPr>
    </w:p>
    <w:tbl>
      <w:tblPr>
        <w:tblLayout w:type="fixed"/>
        <w:tblInd w:w="990" w:type="dxa"/>
        <w:tblCellMar>
          <w:top w:w="0" w:type="dxa"/>
          <w:left w:w="0" w:type="dxa"/>
          <w:bottom w:w="0" w:type="dxa"/>
          <w:right w:w="0" w:type="dxa"/>
        </w:tblCellMar>
      </w:tblPr>
      <w:tr>
        <w:trPr>
          <w:trHeight w:val="273"/>
        </w:trPr>
        <w:tc>
          <w:tcPr>
            <w:tcW w:w="620" w:type="dxa"/>
            <w:vAlign w:val="bottom"/>
          </w:tcPr>
          <w:p>
            <w:pPr>
              <w:ind w:left="100"/>
              <w:spacing w:after="0"/>
              <w:rPr>
                <w:sz w:val="20"/>
                <w:szCs w:val="20"/>
                <w:color w:val="auto"/>
              </w:rPr>
            </w:pPr>
            <w:r>
              <w:rPr>
                <w:rFonts w:ascii="Arial" w:cs="Arial" w:eastAsia="Arial" w:hAnsi="Arial"/>
                <w:sz w:val="20"/>
                <w:szCs w:val="20"/>
                <w:b w:val="1"/>
                <w:bCs w:val="1"/>
                <w:color w:val="auto"/>
              </w:rPr>
              <w:t>ABN</w:t>
            </w:r>
          </w:p>
        </w:tc>
        <w:tc>
          <w:tcPr>
            <w:tcW w:w="6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340" w:type="dxa"/>
            <w:vAlign w:val="bottom"/>
            <w:gridSpan w:val="2"/>
          </w:tcPr>
          <w:p>
            <w:pPr>
              <w:jc w:val="right"/>
              <w:ind w:right="998"/>
              <w:spacing w:after="0"/>
              <w:rPr>
                <w:sz w:val="20"/>
                <w:szCs w:val="20"/>
                <w:color w:val="auto"/>
              </w:rPr>
            </w:pPr>
            <w:r>
              <w:rPr>
                <w:rFonts w:ascii="Arial" w:cs="Arial" w:eastAsia="Arial" w:hAnsi="Arial"/>
                <w:sz w:val="20"/>
                <w:szCs w:val="20"/>
                <w:b w:val="1"/>
                <w:bCs w:val="1"/>
                <w:color w:val="auto"/>
              </w:rPr>
              <w:t>Quarter ended (“current quarter”)</w:t>
            </w:r>
          </w:p>
        </w:tc>
        <w:tc>
          <w:tcPr>
            <w:tcW w:w="0" w:type="dxa"/>
            <w:vAlign w:val="bottom"/>
          </w:tcPr>
          <w:p>
            <w:pPr>
              <w:spacing w:after="0"/>
              <w:rPr>
                <w:sz w:val="1"/>
                <w:szCs w:val="1"/>
                <w:color w:val="auto"/>
              </w:rPr>
            </w:pPr>
          </w:p>
        </w:tc>
      </w:tr>
      <w:tr>
        <w:trPr>
          <w:trHeight w:val="74"/>
        </w:trPr>
        <w:tc>
          <w:tcPr>
            <w:tcW w:w="4020" w:type="dxa"/>
            <w:vAlign w:val="bottom"/>
            <w:tcBorders>
              <w:bottom w:val="single" w:sz="8" w:color="auto"/>
            </w:tcBorders>
            <w:gridSpan w:val="3"/>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41"/>
        </w:trPr>
        <w:tc>
          <w:tcPr>
            <w:tcW w:w="4020" w:type="dxa"/>
            <w:vAlign w:val="bottom"/>
            <w:tcBorders>
              <w:right w:val="single" w:sz="8" w:color="auto"/>
            </w:tcBorders>
            <w:gridSpan w:val="3"/>
          </w:tcPr>
          <w:p>
            <w:pPr>
              <w:ind w:left="120"/>
              <w:spacing w:after="0"/>
              <w:rPr>
                <w:sz w:val="20"/>
                <w:szCs w:val="20"/>
                <w:color w:val="auto"/>
              </w:rPr>
            </w:pPr>
            <w:r>
              <w:rPr>
                <w:rFonts w:ascii="Arial" w:cs="Arial" w:eastAsia="Arial" w:hAnsi="Arial"/>
                <w:sz w:val="20"/>
                <w:szCs w:val="20"/>
                <w:color w:val="auto"/>
              </w:rPr>
              <w:t>54 157 690 830</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jc w:val="right"/>
              <w:ind w:right="99"/>
              <w:spacing w:after="0"/>
              <w:rPr>
                <w:sz w:val="20"/>
                <w:szCs w:val="20"/>
                <w:color w:val="auto"/>
              </w:rPr>
            </w:pPr>
            <w:r>
              <w:rPr>
                <w:rFonts w:ascii="Arial" w:cs="Arial" w:eastAsia="Arial" w:hAnsi="Arial"/>
                <w:sz w:val="20"/>
                <w:szCs w:val="20"/>
                <w:color w:val="auto"/>
              </w:rPr>
              <w:t>30 September 2026</w:t>
            </w: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720" w:type="dxa"/>
            <w:vAlign w:val="bottom"/>
            <w:tcBorders>
              <w:bottom w:val="single" w:sz="8" w:color="auto"/>
              <w:right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20" w:type="dxa"/>
            <w:vAlign w:val="bottom"/>
            <w:tcBorders>
              <w:bottom w:val="single" w:sz="8" w:color="auto"/>
            </w:tcBorders>
          </w:tcPr>
          <w:p>
            <w:pPr>
              <w:spacing w:after="0"/>
              <w:rPr>
                <w:sz w:val="13"/>
                <w:szCs w:val="13"/>
                <w:color w:val="auto"/>
              </w:rPr>
            </w:pPr>
          </w:p>
        </w:tc>
        <w:tc>
          <w:tcPr>
            <w:tcW w:w="232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620" w:type="dxa"/>
            <w:vAlign w:val="bottom"/>
            <w:tcBorders>
              <w:left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Borders>
              <w:right w:val="single" w:sz="8" w:color="auto"/>
            </w:tcBorders>
            <w:vMerge w:val="restart"/>
          </w:tcPr>
          <w:p>
            <w:pPr>
              <w:jc w:val="right"/>
              <w:ind w:right="199"/>
              <w:spacing w:after="0"/>
              <w:rPr>
                <w:sz w:val="20"/>
                <w:szCs w:val="20"/>
                <w:color w:val="auto"/>
              </w:rPr>
            </w:pPr>
            <w:r>
              <w:rPr>
                <w:rFonts w:ascii="Arial" w:cs="Arial" w:eastAsia="Arial" w:hAnsi="Arial"/>
                <w:sz w:val="23"/>
                <w:szCs w:val="23"/>
                <w:b w:val="1"/>
                <w:bCs w:val="1"/>
                <w:color w:val="auto"/>
              </w:rPr>
              <w:t>Current quarter</w:t>
            </w:r>
          </w:p>
        </w:tc>
        <w:tc>
          <w:tcPr>
            <w:tcW w:w="2320" w:type="dxa"/>
            <w:vAlign w:val="bottom"/>
            <w:tcBorders>
              <w:right w:val="single" w:sz="8" w:color="auto"/>
            </w:tcBorders>
          </w:tcPr>
          <w:p>
            <w:pPr>
              <w:jc w:val="right"/>
              <w:ind w:right="438"/>
              <w:spacing w:after="0"/>
              <w:rPr>
                <w:sz w:val="20"/>
                <w:szCs w:val="20"/>
                <w:color w:val="auto"/>
              </w:rPr>
            </w:pPr>
            <w:r>
              <w:rPr>
                <w:rFonts w:ascii="Arial" w:cs="Arial" w:eastAsia="Arial" w:hAnsi="Arial"/>
                <w:sz w:val="23"/>
                <w:szCs w:val="23"/>
                <w:b w:val="1"/>
                <w:bCs w:val="1"/>
                <w:color w:val="auto"/>
              </w:rPr>
              <w:t>Year to date</w:t>
            </w:r>
          </w:p>
        </w:tc>
        <w:tc>
          <w:tcPr>
            <w:tcW w:w="0" w:type="dxa"/>
            <w:vAlign w:val="bottom"/>
          </w:tcPr>
          <w:p>
            <w:pPr>
              <w:spacing w:after="0"/>
              <w:rPr>
                <w:sz w:val="1"/>
                <w:szCs w:val="1"/>
                <w:color w:val="auto"/>
              </w:rPr>
            </w:pPr>
          </w:p>
        </w:tc>
      </w:tr>
      <w:tr>
        <w:trPr>
          <w:trHeight w:val="135"/>
        </w:trPr>
        <w:tc>
          <w:tcPr>
            <w:tcW w:w="4580" w:type="dxa"/>
            <w:vAlign w:val="bottom"/>
            <w:tcBorders>
              <w:left w:val="single" w:sz="8" w:color="auto"/>
              <w:right w:val="single" w:sz="8" w:color="auto"/>
            </w:tcBorders>
            <w:gridSpan w:val="4"/>
            <w:vMerge w:val="restart"/>
          </w:tcPr>
          <w:p>
            <w:pPr>
              <w:ind w:left="180"/>
              <w:spacing w:after="0"/>
              <w:rPr>
                <w:sz w:val="20"/>
                <w:szCs w:val="20"/>
                <w:color w:val="auto"/>
              </w:rPr>
            </w:pPr>
            <w:r>
              <w:rPr>
                <w:rFonts w:ascii="Arial" w:cs="Arial" w:eastAsia="Arial" w:hAnsi="Arial"/>
                <w:sz w:val="23"/>
                <w:szCs w:val="23"/>
                <w:b w:val="1"/>
                <w:bCs w:val="1"/>
                <w:color w:val="auto"/>
              </w:rPr>
              <w:t>Consolidated statement of cash flows</w:t>
            </w:r>
          </w:p>
        </w:tc>
        <w:tc>
          <w:tcPr>
            <w:tcW w:w="160" w:type="dxa"/>
            <w:vAlign w:val="bottom"/>
          </w:tcPr>
          <w:p>
            <w:pPr>
              <w:spacing w:after="0"/>
              <w:rPr>
                <w:sz w:val="11"/>
                <w:szCs w:val="11"/>
                <w:color w:val="auto"/>
              </w:rPr>
            </w:pPr>
          </w:p>
        </w:tc>
        <w:tc>
          <w:tcPr>
            <w:tcW w:w="2020" w:type="dxa"/>
            <w:vAlign w:val="bottom"/>
            <w:tcBorders>
              <w:right w:val="single" w:sz="8" w:color="auto"/>
            </w:tcBorders>
            <w:vMerge w:val="continue"/>
          </w:tcPr>
          <w:p>
            <w:pPr>
              <w:spacing w:after="0"/>
              <w:rPr>
                <w:sz w:val="11"/>
                <w:szCs w:val="11"/>
                <w:color w:val="auto"/>
              </w:rPr>
            </w:pPr>
          </w:p>
        </w:tc>
        <w:tc>
          <w:tcPr>
            <w:tcW w:w="2320" w:type="dxa"/>
            <w:vAlign w:val="bottom"/>
            <w:tcBorders>
              <w:right w:val="single" w:sz="8" w:color="auto"/>
            </w:tcBorders>
            <w:vMerge w:val="restart"/>
          </w:tcPr>
          <w:p>
            <w:pPr>
              <w:jc w:val="right"/>
              <w:ind w:right="458"/>
              <w:spacing w:after="0"/>
              <w:rPr>
                <w:sz w:val="20"/>
                <w:szCs w:val="20"/>
                <w:color w:val="auto"/>
              </w:rPr>
            </w:pPr>
            <w:r>
              <w:rPr>
                <w:rFonts w:ascii="Arial" w:cs="Arial" w:eastAsia="Arial" w:hAnsi="Arial"/>
                <w:sz w:val="23"/>
                <w:szCs w:val="23"/>
                <w:b w:val="1"/>
                <w:bCs w:val="1"/>
                <w:color w:val="auto"/>
              </w:rPr>
              <w:t>(9 months)</w:t>
            </w:r>
          </w:p>
        </w:tc>
        <w:tc>
          <w:tcPr>
            <w:tcW w:w="0" w:type="dxa"/>
            <w:vAlign w:val="bottom"/>
          </w:tcPr>
          <w:p>
            <w:pPr>
              <w:spacing w:after="0"/>
              <w:rPr>
                <w:sz w:val="1"/>
                <w:szCs w:val="1"/>
                <w:color w:val="auto"/>
              </w:rPr>
            </w:pPr>
          </w:p>
        </w:tc>
      </w:tr>
      <w:tr>
        <w:trPr>
          <w:trHeight w:val="148"/>
        </w:trPr>
        <w:tc>
          <w:tcPr>
            <w:tcW w:w="4580" w:type="dxa"/>
            <w:vAlign w:val="bottom"/>
            <w:tcBorders>
              <w:left w:val="single" w:sz="8" w:color="auto"/>
              <w:right w:val="single" w:sz="8" w:color="auto"/>
            </w:tcBorders>
            <w:gridSpan w:val="4"/>
            <w:vMerge w:val="continue"/>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Borders>
              <w:right w:val="single" w:sz="8" w:color="auto"/>
            </w:tcBorders>
            <w:vMerge w:val="restart"/>
          </w:tcPr>
          <w:p>
            <w:pPr>
              <w:jc w:val="right"/>
              <w:ind w:right="479"/>
              <w:spacing w:after="0"/>
              <w:rPr>
                <w:sz w:val="20"/>
                <w:szCs w:val="20"/>
                <w:color w:val="auto"/>
              </w:rPr>
            </w:pPr>
            <w:r>
              <w:rPr>
                <w:rFonts w:ascii="Arial" w:cs="Arial" w:eastAsia="Arial" w:hAnsi="Arial"/>
                <w:sz w:val="23"/>
                <w:szCs w:val="23"/>
                <w:b w:val="1"/>
                <w:bCs w:val="1"/>
                <w:color w:val="auto"/>
              </w:rPr>
              <w:t>$USD’000</w:t>
            </w:r>
          </w:p>
        </w:tc>
        <w:tc>
          <w:tcPr>
            <w:tcW w:w="2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20" w:type="dxa"/>
            <w:vAlign w:val="bottom"/>
            <w:tcBorders>
              <w:left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560" w:type="dxa"/>
            <w:vAlign w:val="bottom"/>
            <w:tcBorders>
              <w:right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20" w:type="dxa"/>
            <w:vAlign w:val="bottom"/>
            <w:tcBorders>
              <w:right w:val="single" w:sz="8" w:color="auto"/>
            </w:tcBorders>
            <w:vMerge w:val="continue"/>
          </w:tcPr>
          <w:p>
            <w:pPr>
              <w:spacing w:after="0"/>
              <w:rPr>
                <w:sz w:val="15"/>
                <w:szCs w:val="15"/>
                <w:color w:val="auto"/>
              </w:rPr>
            </w:pPr>
          </w:p>
        </w:tc>
        <w:tc>
          <w:tcPr>
            <w:tcW w:w="2320" w:type="dxa"/>
            <w:vAlign w:val="bottom"/>
            <w:tcBorders>
              <w:right w:val="single" w:sz="8" w:color="auto"/>
            </w:tcBorders>
            <w:vMerge w:val="restart"/>
          </w:tcPr>
          <w:p>
            <w:pPr>
              <w:jc w:val="right"/>
              <w:ind w:right="518"/>
              <w:spacing w:after="0"/>
              <w:rPr>
                <w:sz w:val="20"/>
                <w:szCs w:val="20"/>
                <w:color w:val="auto"/>
              </w:rPr>
            </w:pPr>
            <w:r>
              <w:rPr>
                <w:rFonts w:ascii="Arial" w:cs="Arial" w:eastAsia="Arial" w:hAnsi="Arial"/>
                <w:sz w:val="23"/>
                <w:szCs w:val="23"/>
                <w:b w:val="1"/>
                <w:bCs w:val="1"/>
                <w:color w:val="auto"/>
              </w:rPr>
              <w:t>$USD’000</w:t>
            </w:r>
          </w:p>
        </w:tc>
        <w:tc>
          <w:tcPr>
            <w:tcW w:w="0" w:type="dxa"/>
            <w:vAlign w:val="bottom"/>
          </w:tcPr>
          <w:p>
            <w:pPr>
              <w:spacing w:after="0"/>
              <w:rPr>
                <w:sz w:val="1"/>
                <w:szCs w:val="1"/>
                <w:color w:val="auto"/>
              </w:rPr>
            </w:pPr>
          </w:p>
        </w:tc>
      </w:tr>
      <w:tr>
        <w:trPr>
          <w:trHeight w:val="148"/>
        </w:trPr>
        <w:tc>
          <w:tcPr>
            <w:tcW w:w="620" w:type="dxa"/>
            <w:vAlign w:val="bottom"/>
            <w:tcBorders>
              <w:lef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 w:type="dxa"/>
            <w:vAlign w:val="bottom"/>
            <w:tcBorders>
              <w:left w:val="single" w:sz="8" w:color="auto"/>
              <w:bottom w:val="single" w:sz="8" w:color="auto"/>
            </w:tcBorders>
          </w:tcPr>
          <w:p>
            <w:pPr>
              <w:spacing w:after="0"/>
              <w:rPr>
                <w:sz w:val="2"/>
                <w:szCs w:val="2"/>
                <w:color w:val="auto"/>
              </w:rPr>
            </w:pPr>
          </w:p>
        </w:tc>
        <w:tc>
          <w:tcPr>
            <w:tcW w:w="3960" w:type="dxa"/>
            <w:vAlign w:val="bottom"/>
            <w:tcBorders>
              <w:bottom w:val="single" w:sz="8" w:color="auto"/>
              <w:right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0"/>
        </w:trPr>
        <w:tc>
          <w:tcPr>
            <w:tcW w:w="620" w:type="dxa"/>
            <w:vAlign w:val="bottom"/>
          </w:tcPr>
          <w:p>
            <w:pPr>
              <w:ind w:left="120"/>
              <w:spacing w:after="0"/>
              <w:rPr>
                <w:sz w:val="20"/>
                <w:szCs w:val="20"/>
                <w:color w:val="auto"/>
              </w:rPr>
            </w:pPr>
            <w:r>
              <w:rPr>
                <w:rFonts w:ascii="Arial" w:cs="Arial" w:eastAsia="Arial" w:hAnsi="Arial"/>
                <w:sz w:val="20"/>
                <w:szCs w:val="20"/>
                <w:b w:val="1"/>
                <w:bCs w:val="1"/>
                <w:color w:val="auto"/>
              </w:rPr>
              <w:t>1.</w:t>
            </w:r>
          </w:p>
        </w:tc>
        <w:tc>
          <w:tcPr>
            <w:tcW w:w="39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b w:val="1"/>
                <w:bCs w:val="1"/>
                <w:color w:val="auto"/>
              </w:rPr>
              <w:t>Cash flows from operating activities</w:t>
            </w:r>
          </w:p>
        </w:tc>
        <w:tc>
          <w:tcPr>
            <w:tcW w:w="1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20" w:type="dxa"/>
            <w:vAlign w:val="bottom"/>
          </w:tcPr>
          <w:p>
            <w:pPr>
              <w:ind w:left="120"/>
              <w:spacing w:after="0"/>
              <w:rPr>
                <w:sz w:val="20"/>
                <w:szCs w:val="20"/>
                <w:color w:val="auto"/>
              </w:rPr>
            </w:pPr>
            <w:r>
              <w:rPr>
                <w:rFonts w:ascii="Arial" w:cs="Arial" w:eastAsia="Arial" w:hAnsi="Arial"/>
                <w:sz w:val="20"/>
                <w:szCs w:val="20"/>
                <w:color w:val="auto"/>
              </w:rPr>
              <w:t>1.1</w:t>
            </w:r>
          </w:p>
        </w:tc>
        <w:tc>
          <w:tcPr>
            <w:tcW w:w="39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Receipts from customers</w:t>
            </w:r>
          </w:p>
        </w:tc>
        <w:tc>
          <w:tcPr>
            <w:tcW w:w="160" w:type="dxa"/>
            <w:vAlign w:val="bottom"/>
          </w:tcPr>
          <w:p>
            <w:pPr>
              <w:spacing w:after="0"/>
              <w:rPr>
                <w:sz w:val="24"/>
                <w:szCs w:val="24"/>
                <w:color w:val="auto"/>
              </w:rPr>
            </w:pPr>
          </w:p>
        </w:tc>
        <w:tc>
          <w:tcPr>
            <w:tcW w:w="2020" w:type="dxa"/>
            <w:vAlign w:val="bottom"/>
            <w:tcBorders>
              <w:right w:val="single" w:sz="8" w:color="auto"/>
            </w:tcBorders>
          </w:tcPr>
          <w:p>
            <w:pPr>
              <w:jc w:val="right"/>
              <w:ind w:right="19"/>
              <w:spacing w:after="0"/>
              <w:rPr>
                <w:sz w:val="20"/>
                <w:szCs w:val="20"/>
                <w:color w:val="auto"/>
              </w:rPr>
            </w:pPr>
            <w:r>
              <w:rPr>
                <w:rFonts w:ascii="Arial" w:cs="Arial" w:eastAsia="Arial" w:hAnsi="Arial"/>
                <w:sz w:val="20"/>
                <w:szCs w:val="20"/>
                <w:color w:val="auto"/>
              </w:rPr>
              <w:t>582</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2,703</w:t>
            </w:r>
          </w:p>
        </w:tc>
        <w:tc>
          <w:tcPr>
            <w:tcW w:w="0" w:type="dxa"/>
            <w:vAlign w:val="bottom"/>
          </w:tcPr>
          <w:p>
            <w:pPr>
              <w:spacing w:after="0"/>
              <w:rPr>
                <w:sz w:val="1"/>
                <w:szCs w:val="1"/>
                <w:color w:val="auto"/>
              </w:rPr>
            </w:pPr>
          </w:p>
        </w:tc>
      </w:tr>
      <w:tr>
        <w:trPr>
          <w:trHeight w:val="324"/>
        </w:trPr>
        <w:tc>
          <w:tcPr>
            <w:tcW w:w="620" w:type="dxa"/>
            <w:vAlign w:val="bottom"/>
          </w:tcPr>
          <w:p>
            <w:pPr>
              <w:ind w:left="120"/>
              <w:spacing w:after="0"/>
              <w:rPr>
                <w:sz w:val="20"/>
                <w:szCs w:val="20"/>
                <w:color w:val="auto"/>
              </w:rPr>
            </w:pPr>
            <w:r>
              <w:rPr>
                <w:rFonts w:ascii="Arial" w:cs="Arial" w:eastAsia="Arial" w:hAnsi="Arial"/>
                <w:sz w:val="20"/>
                <w:szCs w:val="20"/>
                <w:color w:val="auto"/>
              </w:rPr>
              <w:t>1.2</w:t>
            </w:r>
          </w:p>
        </w:tc>
        <w:tc>
          <w:tcPr>
            <w:tcW w:w="39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Payments for</w:t>
            </w:r>
          </w:p>
        </w:tc>
        <w:tc>
          <w:tcPr>
            <w:tcW w:w="160" w:type="dxa"/>
            <w:vAlign w:val="bottom"/>
          </w:tcPr>
          <w:p>
            <w:pPr>
              <w:spacing w:after="0"/>
              <w:rPr>
                <w:sz w:val="24"/>
                <w:szCs w:val="24"/>
                <w:color w:val="auto"/>
              </w:rPr>
            </w:pPr>
          </w:p>
        </w:tc>
        <w:tc>
          <w:tcPr>
            <w:tcW w:w="202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62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w:t>
            </w:r>
          </w:p>
        </w:tc>
        <w:tc>
          <w:tcPr>
            <w:tcW w:w="328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rPr>
              <w:t>research and development</w:t>
            </w:r>
          </w:p>
        </w:tc>
        <w:tc>
          <w:tcPr>
            <w:tcW w:w="160" w:type="dxa"/>
            <w:vAlign w:val="bottom"/>
          </w:tcPr>
          <w:p>
            <w:pPr>
              <w:spacing w:after="0"/>
              <w:rPr>
                <w:sz w:val="24"/>
                <w:szCs w:val="24"/>
                <w:color w:val="auto"/>
              </w:rPr>
            </w:pPr>
          </w:p>
        </w:tc>
        <w:tc>
          <w:tcPr>
            <w:tcW w:w="2020" w:type="dxa"/>
            <w:vAlign w:val="bottom"/>
            <w:tcBorders>
              <w:right w:val="single" w:sz="8" w:color="auto"/>
            </w:tcBorders>
          </w:tcPr>
          <w:p>
            <w:pPr>
              <w:jc w:val="right"/>
              <w:ind w:right="19"/>
              <w:spacing w:after="0"/>
              <w:rPr>
                <w:sz w:val="20"/>
                <w:szCs w:val="20"/>
                <w:color w:val="auto"/>
              </w:rPr>
            </w:pPr>
            <w:r>
              <w:rPr>
                <w:rFonts w:ascii="Arial" w:cs="Arial" w:eastAsia="Arial" w:hAnsi="Arial"/>
                <w:sz w:val="20"/>
                <w:szCs w:val="20"/>
                <w:color w:val="auto"/>
              </w:rPr>
              <w:t>(2,064)</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(6,569)</w:t>
            </w:r>
          </w:p>
        </w:tc>
        <w:tc>
          <w:tcPr>
            <w:tcW w:w="0" w:type="dxa"/>
            <w:vAlign w:val="bottom"/>
          </w:tcPr>
          <w:p>
            <w:pPr>
              <w:spacing w:after="0"/>
              <w:rPr>
                <w:sz w:val="1"/>
                <w:szCs w:val="1"/>
                <w:color w:val="auto"/>
              </w:rPr>
            </w:pPr>
          </w:p>
        </w:tc>
      </w:tr>
      <w:tr>
        <w:trPr>
          <w:trHeight w:val="279"/>
        </w:trPr>
        <w:tc>
          <w:tcPr>
            <w:tcW w:w="620" w:type="dxa"/>
            <w:vAlign w:val="bottom"/>
          </w:tcPr>
          <w:p>
            <w:pPr>
              <w:spacing w:after="0"/>
              <w:rPr>
                <w:sz w:val="24"/>
                <w:szCs w:val="24"/>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(b)</w:t>
            </w:r>
          </w:p>
        </w:tc>
        <w:tc>
          <w:tcPr>
            <w:tcW w:w="328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rPr>
              <w:t>product manufacturing and</w:t>
            </w:r>
          </w:p>
        </w:tc>
        <w:tc>
          <w:tcPr>
            <w:tcW w:w="160" w:type="dxa"/>
            <w:vAlign w:val="bottom"/>
          </w:tcPr>
          <w:p>
            <w:pPr>
              <w:spacing w:after="0"/>
              <w:rPr>
                <w:sz w:val="24"/>
                <w:szCs w:val="24"/>
                <w:color w:val="auto"/>
              </w:rPr>
            </w:pPr>
          </w:p>
        </w:tc>
        <w:tc>
          <w:tcPr>
            <w:tcW w:w="2020" w:type="dxa"/>
            <w:vAlign w:val="bottom"/>
            <w:tcBorders>
              <w:right w:val="single" w:sz="8" w:color="auto"/>
            </w:tcBorders>
          </w:tcPr>
          <w:p>
            <w:pPr>
              <w:jc w:val="right"/>
              <w:ind w:right="19"/>
              <w:spacing w:after="0"/>
              <w:rPr>
                <w:sz w:val="20"/>
                <w:szCs w:val="20"/>
                <w:color w:val="auto"/>
              </w:rPr>
            </w:pPr>
            <w:r>
              <w:rPr>
                <w:rFonts w:ascii="Arial" w:cs="Arial" w:eastAsia="Arial" w:hAnsi="Arial"/>
                <w:sz w:val="20"/>
                <w:szCs w:val="20"/>
                <w:color w:val="auto"/>
              </w:rPr>
              <w:t>-</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(1,001)</w:t>
            </w:r>
          </w:p>
        </w:tc>
        <w:tc>
          <w:tcPr>
            <w:tcW w:w="0" w:type="dxa"/>
            <w:vAlign w:val="bottom"/>
          </w:tcPr>
          <w:p>
            <w:pPr>
              <w:spacing w:after="0"/>
              <w:rPr>
                <w:sz w:val="1"/>
                <w:szCs w:val="1"/>
                <w:color w:val="auto"/>
              </w:rPr>
            </w:pPr>
          </w:p>
        </w:tc>
      </w:tr>
      <w:tr>
        <w:trPr>
          <w:trHeight w:val="261"/>
        </w:trPr>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80" w:type="dxa"/>
            <w:vAlign w:val="bottom"/>
            <w:tcBorders>
              <w:right w:val="single" w:sz="8" w:color="auto"/>
            </w:tcBorders>
            <w:gridSpan w:val="2"/>
          </w:tcPr>
          <w:p>
            <w:pPr>
              <w:ind w:left="60"/>
              <w:spacing w:after="0"/>
              <w:rPr>
                <w:sz w:val="20"/>
                <w:szCs w:val="20"/>
                <w:color w:val="auto"/>
              </w:rPr>
            </w:pPr>
            <w:r>
              <w:rPr>
                <w:rFonts w:ascii="Arial" w:cs="Arial" w:eastAsia="Arial" w:hAnsi="Arial"/>
                <w:sz w:val="20"/>
                <w:szCs w:val="20"/>
                <w:color w:val="auto"/>
              </w:rPr>
              <w:t>operating costs</w:t>
            </w:r>
          </w:p>
        </w:tc>
        <w:tc>
          <w:tcPr>
            <w:tcW w:w="160" w:type="dxa"/>
            <w:vAlign w:val="bottom"/>
          </w:tcPr>
          <w:p>
            <w:pPr>
              <w:spacing w:after="0"/>
              <w:rPr>
                <w:sz w:val="22"/>
                <w:szCs w:val="22"/>
                <w:color w:val="auto"/>
              </w:rPr>
            </w:pPr>
          </w:p>
        </w:tc>
        <w:tc>
          <w:tcPr>
            <w:tcW w:w="2020" w:type="dxa"/>
            <w:vAlign w:val="bottom"/>
            <w:tcBorders>
              <w:right w:val="single" w:sz="8" w:color="auto"/>
            </w:tcBorders>
          </w:tcPr>
          <w:p>
            <w:pPr>
              <w:spacing w:after="0"/>
              <w:rPr>
                <w:sz w:val="22"/>
                <w:szCs w:val="22"/>
                <w:color w:val="auto"/>
              </w:rPr>
            </w:pPr>
          </w:p>
        </w:tc>
        <w:tc>
          <w:tcPr>
            <w:tcW w:w="2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3960" w:type="dxa"/>
            <w:vAlign w:val="bottom"/>
            <w:tcBorders>
              <w:right w:val="single" w:sz="8" w:color="auto"/>
            </w:tcBorders>
            <w:gridSpan w:val="3"/>
          </w:tcPr>
          <w:p>
            <w:pPr>
              <w:ind w:left="420"/>
              <w:spacing w:after="0"/>
              <w:rPr>
                <w:sz w:val="20"/>
                <w:szCs w:val="20"/>
                <w:color w:val="auto"/>
              </w:rPr>
            </w:pPr>
            <w:r>
              <w:rPr>
                <w:rFonts w:ascii="Arial" w:cs="Arial" w:eastAsia="Arial" w:hAnsi="Arial"/>
                <w:sz w:val="20"/>
                <w:szCs w:val="20"/>
                <w:color w:val="auto"/>
              </w:rPr>
              <w:t>(c) advertising and marketing</w:t>
            </w:r>
          </w:p>
        </w:tc>
        <w:tc>
          <w:tcPr>
            <w:tcW w:w="160" w:type="dxa"/>
            <w:vAlign w:val="bottom"/>
          </w:tcPr>
          <w:p>
            <w:pPr>
              <w:spacing w:after="0"/>
              <w:rPr>
                <w:sz w:val="24"/>
                <w:szCs w:val="24"/>
                <w:color w:val="auto"/>
              </w:rPr>
            </w:pPr>
          </w:p>
        </w:tc>
        <w:tc>
          <w:tcPr>
            <w:tcW w:w="2020" w:type="dxa"/>
            <w:vAlign w:val="bottom"/>
            <w:tcBorders>
              <w:right w:val="single" w:sz="8" w:color="auto"/>
            </w:tcBorders>
          </w:tcPr>
          <w:p>
            <w:pPr>
              <w:jc w:val="right"/>
              <w:ind w:right="19"/>
              <w:spacing w:after="0"/>
              <w:rPr>
                <w:sz w:val="20"/>
                <w:szCs w:val="20"/>
                <w:color w:val="auto"/>
              </w:rPr>
            </w:pPr>
            <w:r>
              <w:rPr>
                <w:rFonts w:ascii="Arial" w:cs="Arial" w:eastAsia="Arial" w:hAnsi="Arial"/>
                <w:sz w:val="20"/>
                <w:szCs w:val="20"/>
                <w:color w:val="auto"/>
              </w:rPr>
              <w:t>(31)</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(141)</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3960" w:type="dxa"/>
            <w:vAlign w:val="bottom"/>
            <w:tcBorders>
              <w:right w:val="single" w:sz="8" w:color="auto"/>
            </w:tcBorders>
            <w:gridSpan w:val="3"/>
          </w:tcPr>
          <w:p>
            <w:pPr>
              <w:ind w:left="420"/>
              <w:spacing w:after="0"/>
              <w:rPr>
                <w:sz w:val="20"/>
                <w:szCs w:val="20"/>
                <w:color w:val="auto"/>
              </w:rPr>
            </w:pPr>
            <w:r>
              <w:rPr>
                <w:rFonts w:ascii="Arial" w:cs="Arial" w:eastAsia="Arial" w:hAnsi="Arial"/>
                <w:sz w:val="20"/>
                <w:szCs w:val="20"/>
                <w:color w:val="auto"/>
              </w:rPr>
              <w:t>(d) leased assets</w:t>
            </w:r>
          </w:p>
        </w:tc>
        <w:tc>
          <w:tcPr>
            <w:tcW w:w="160" w:type="dxa"/>
            <w:vAlign w:val="bottom"/>
          </w:tcPr>
          <w:p>
            <w:pPr>
              <w:spacing w:after="0"/>
              <w:rPr>
                <w:sz w:val="24"/>
                <w:szCs w:val="24"/>
                <w:color w:val="auto"/>
              </w:rPr>
            </w:pPr>
          </w:p>
        </w:tc>
        <w:tc>
          <w:tcPr>
            <w:tcW w:w="2020" w:type="dxa"/>
            <w:vAlign w:val="bottom"/>
            <w:tcBorders>
              <w:right w:val="single" w:sz="8" w:color="auto"/>
            </w:tcBorders>
          </w:tcPr>
          <w:p>
            <w:pPr>
              <w:jc w:val="right"/>
              <w:ind w:right="19"/>
              <w:spacing w:after="0"/>
              <w:rPr>
                <w:sz w:val="20"/>
                <w:szCs w:val="20"/>
                <w:color w:val="auto"/>
              </w:rPr>
            </w:pPr>
            <w:r>
              <w:rPr>
                <w:rFonts w:ascii="Arial" w:cs="Arial" w:eastAsia="Arial" w:hAnsi="Arial"/>
                <w:sz w:val="20"/>
                <w:szCs w:val="20"/>
                <w:color w:val="auto"/>
              </w:rPr>
              <w:t>-</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3960" w:type="dxa"/>
            <w:vAlign w:val="bottom"/>
            <w:tcBorders>
              <w:right w:val="single" w:sz="8" w:color="auto"/>
            </w:tcBorders>
            <w:gridSpan w:val="3"/>
          </w:tcPr>
          <w:p>
            <w:pPr>
              <w:ind w:left="420"/>
              <w:spacing w:after="0"/>
              <w:rPr>
                <w:sz w:val="20"/>
                <w:szCs w:val="20"/>
                <w:color w:val="auto"/>
              </w:rPr>
            </w:pPr>
            <w:r>
              <w:rPr>
                <w:rFonts w:ascii="Arial" w:cs="Arial" w:eastAsia="Arial" w:hAnsi="Arial"/>
                <w:sz w:val="20"/>
                <w:szCs w:val="20"/>
                <w:color w:val="auto"/>
              </w:rPr>
              <w:t>(e) staff costs</w:t>
            </w:r>
          </w:p>
        </w:tc>
        <w:tc>
          <w:tcPr>
            <w:tcW w:w="160" w:type="dxa"/>
            <w:vAlign w:val="bottom"/>
          </w:tcPr>
          <w:p>
            <w:pPr>
              <w:spacing w:after="0"/>
              <w:rPr>
                <w:sz w:val="24"/>
                <w:szCs w:val="24"/>
                <w:color w:val="auto"/>
              </w:rPr>
            </w:pPr>
          </w:p>
        </w:tc>
        <w:tc>
          <w:tcPr>
            <w:tcW w:w="2020" w:type="dxa"/>
            <w:vAlign w:val="bottom"/>
            <w:tcBorders>
              <w:right w:val="single" w:sz="8" w:color="auto"/>
            </w:tcBorders>
          </w:tcPr>
          <w:p>
            <w:pPr>
              <w:jc w:val="right"/>
              <w:ind w:right="19"/>
              <w:spacing w:after="0"/>
              <w:rPr>
                <w:sz w:val="20"/>
                <w:szCs w:val="20"/>
                <w:color w:val="auto"/>
              </w:rPr>
            </w:pPr>
            <w:r>
              <w:rPr>
                <w:rFonts w:ascii="Arial" w:cs="Arial" w:eastAsia="Arial" w:hAnsi="Arial"/>
                <w:sz w:val="20"/>
                <w:szCs w:val="20"/>
                <w:color w:val="auto"/>
              </w:rPr>
              <w:t>(3,553)</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(16,322)</w:t>
            </w: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3960" w:type="dxa"/>
            <w:vAlign w:val="bottom"/>
            <w:tcBorders>
              <w:right w:val="single" w:sz="8" w:color="auto"/>
            </w:tcBorders>
            <w:gridSpan w:val="3"/>
          </w:tcPr>
          <w:p>
            <w:pPr>
              <w:ind w:left="420"/>
              <w:spacing w:after="0"/>
              <w:rPr>
                <w:sz w:val="20"/>
                <w:szCs w:val="20"/>
                <w:color w:val="auto"/>
              </w:rPr>
            </w:pPr>
            <w:r>
              <w:rPr>
                <w:rFonts w:ascii="Arial" w:cs="Arial" w:eastAsia="Arial" w:hAnsi="Arial"/>
                <w:sz w:val="20"/>
                <w:szCs w:val="20"/>
                <w:color w:val="auto"/>
              </w:rPr>
              <w:t>(f) administration and corporate costs</w:t>
            </w:r>
          </w:p>
        </w:tc>
        <w:tc>
          <w:tcPr>
            <w:tcW w:w="160" w:type="dxa"/>
            <w:vAlign w:val="bottom"/>
          </w:tcPr>
          <w:p>
            <w:pPr>
              <w:spacing w:after="0"/>
              <w:rPr>
                <w:sz w:val="24"/>
                <w:szCs w:val="24"/>
                <w:color w:val="auto"/>
              </w:rPr>
            </w:pPr>
          </w:p>
        </w:tc>
        <w:tc>
          <w:tcPr>
            <w:tcW w:w="2020" w:type="dxa"/>
            <w:vAlign w:val="bottom"/>
            <w:tcBorders>
              <w:right w:val="single" w:sz="8" w:color="auto"/>
            </w:tcBorders>
          </w:tcPr>
          <w:p>
            <w:pPr>
              <w:jc w:val="right"/>
              <w:ind w:right="19"/>
              <w:spacing w:after="0"/>
              <w:rPr>
                <w:sz w:val="20"/>
                <w:szCs w:val="20"/>
                <w:color w:val="auto"/>
              </w:rPr>
            </w:pPr>
            <w:r>
              <w:rPr>
                <w:rFonts w:ascii="Arial" w:cs="Arial" w:eastAsia="Arial" w:hAnsi="Arial"/>
                <w:sz w:val="20"/>
                <w:szCs w:val="20"/>
                <w:color w:val="auto"/>
              </w:rPr>
              <w:t>(4,429)</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(11,243)</w:t>
            </w:r>
          </w:p>
        </w:tc>
        <w:tc>
          <w:tcPr>
            <w:tcW w:w="0" w:type="dxa"/>
            <w:vAlign w:val="bottom"/>
          </w:tcPr>
          <w:p>
            <w:pPr>
              <w:spacing w:after="0"/>
              <w:rPr>
                <w:sz w:val="1"/>
                <w:szCs w:val="1"/>
                <w:color w:val="auto"/>
              </w:rPr>
            </w:pPr>
          </w:p>
        </w:tc>
      </w:tr>
      <w:tr>
        <w:trPr>
          <w:trHeight w:val="324"/>
        </w:trPr>
        <w:tc>
          <w:tcPr>
            <w:tcW w:w="620" w:type="dxa"/>
            <w:vAlign w:val="bottom"/>
          </w:tcPr>
          <w:p>
            <w:pPr>
              <w:ind w:left="120"/>
              <w:spacing w:after="0"/>
              <w:rPr>
                <w:sz w:val="20"/>
                <w:szCs w:val="20"/>
                <w:color w:val="auto"/>
              </w:rPr>
            </w:pPr>
            <w:r>
              <w:rPr>
                <w:rFonts w:ascii="Arial" w:cs="Arial" w:eastAsia="Arial" w:hAnsi="Arial"/>
                <w:sz w:val="20"/>
                <w:szCs w:val="20"/>
                <w:color w:val="auto"/>
              </w:rPr>
              <w:t>1.3</w:t>
            </w:r>
          </w:p>
        </w:tc>
        <w:tc>
          <w:tcPr>
            <w:tcW w:w="39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Dividends received (see note 3)</w:t>
            </w:r>
          </w:p>
        </w:tc>
        <w:tc>
          <w:tcPr>
            <w:tcW w:w="160" w:type="dxa"/>
            <w:vAlign w:val="bottom"/>
          </w:tcPr>
          <w:p>
            <w:pPr>
              <w:spacing w:after="0"/>
              <w:rPr>
                <w:sz w:val="24"/>
                <w:szCs w:val="24"/>
                <w:color w:val="auto"/>
              </w:rPr>
            </w:pPr>
          </w:p>
        </w:tc>
        <w:tc>
          <w:tcPr>
            <w:tcW w:w="2020" w:type="dxa"/>
            <w:vAlign w:val="bottom"/>
            <w:tcBorders>
              <w:right w:val="single" w:sz="8" w:color="auto"/>
            </w:tcBorders>
          </w:tcPr>
          <w:p>
            <w:pPr>
              <w:jc w:val="right"/>
              <w:ind w:right="19"/>
              <w:spacing w:after="0"/>
              <w:rPr>
                <w:sz w:val="20"/>
                <w:szCs w:val="20"/>
                <w:color w:val="auto"/>
              </w:rPr>
            </w:pPr>
            <w:r>
              <w:rPr>
                <w:rFonts w:ascii="Arial" w:cs="Arial" w:eastAsia="Arial" w:hAnsi="Arial"/>
                <w:sz w:val="20"/>
                <w:szCs w:val="20"/>
                <w:color w:val="auto"/>
              </w:rPr>
              <w:t>-</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51"/>
        </w:trPr>
        <w:tc>
          <w:tcPr>
            <w:tcW w:w="620" w:type="dxa"/>
            <w:vAlign w:val="bottom"/>
          </w:tcPr>
          <w:p>
            <w:pPr>
              <w:ind w:left="120"/>
              <w:spacing w:after="0"/>
              <w:rPr>
                <w:sz w:val="20"/>
                <w:szCs w:val="20"/>
                <w:color w:val="auto"/>
              </w:rPr>
            </w:pPr>
            <w:r>
              <w:rPr>
                <w:rFonts w:ascii="Arial" w:cs="Arial" w:eastAsia="Arial" w:hAnsi="Arial"/>
                <w:sz w:val="20"/>
                <w:szCs w:val="20"/>
                <w:color w:val="auto"/>
              </w:rPr>
              <w:t>1.4</w:t>
            </w:r>
          </w:p>
        </w:tc>
        <w:tc>
          <w:tcPr>
            <w:tcW w:w="39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Interest received</w:t>
            </w:r>
          </w:p>
        </w:tc>
        <w:tc>
          <w:tcPr>
            <w:tcW w:w="160" w:type="dxa"/>
            <w:vAlign w:val="bottom"/>
          </w:tcPr>
          <w:p>
            <w:pPr>
              <w:spacing w:after="0"/>
              <w:rPr>
                <w:sz w:val="24"/>
                <w:szCs w:val="24"/>
                <w:color w:val="auto"/>
              </w:rPr>
            </w:pPr>
          </w:p>
        </w:tc>
        <w:tc>
          <w:tcPr>
            <w:tcW w:w="2020" w:type="dxa"/>
            <w:vAlign w:val="bottom"/>
            <w:tcBorders>
              <w:right w:val="single" w:sz="8" w:color="auto"/>
            </w:tcBorders>
          </w:tcPr>
          <w:p>
            <w:pPr>
              <w:jc w:val="right"/>
              <w:ind w:right="19"/>
              <w:spacing w:after="0"/>
              <w:rPr>
                <w:sz w:val="20"/>
                <w:szCs w:val="20"/>
                <w:color w:val="auto"/>
              </w:rPr>
            </w:pPr>
            <w:r>
              <w:rPr>
                <w:rFonts w:ascii="Arial" w:cs="Arial" w:eastAsia="Arial" w:hAnsi="Arial"/>
                <w:sz w:val="20"/>
                <w:szCs w:val="20"/>
                <w:color w:val="auto"/>
              </w:rPr>
              <w:t>185</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782</w:t>
            </w:r>
          </w:p>
        </w:tc>
        <w:tc>
          <w:tcPr>
            <w:tcW w:w="0" w:type="dxa"/>
            <w:vAlign w:val="bottom"/>
          </w:tcPr>
          <w:p>
            <w:pPr>
              <w:spacing w:after="0"/>
              <w:rPr>
                <w:sz w:val="1"/>
                <w:szCs w:val="1"/>
                <w:color w:val="auto"/>
              </w:rPr>
            </w:pPr>
          </w:p>
        </w:tc>
      </w:tr>
      <w:tr>
        <w:trPr>
          <w:trHeight w:val="324"/>
        </w:trPr>
        <w:tc>
          <w:tcPr>
            <w:tcW w:w="620" w:type="dxa"/>
            <w:vAlign w:val="bottom"/>
          </w:tcPr>
          <w:p>
            <w:pPr>
              <w:ind w:left="120"/>
              <w:spacing w:after="0"/>
              <w:rPr>
                <w:sz w:val="20"/>
                <w:szCs w:val="20"/>
                <w:color w:val="auto"/>
              </w:rPr>
            </w:pPr>
            <w:r>
              <w:rPr>
                <w:rFonts w:ascii="Arial" w:cs="Arial" w:eastAsia="Arial" w:hAnsi="Arial"/>
                <w:sz w:val="20"/>
                <w:szCs w:val="20"/>
                <w:color w:val="auto"/>
              </w:rPr>
              <w:t>1.5</w:t>
            </w:r>
          </w:p>
        </w:tc>
        <w:tc>
          <w:tcPr>
            <w:tcW w:w="39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Interest and other costs of finance paid</w:t>
            </w:r>
          </w:p>
        </w:tc>
        <w:tc>
          <w:tcPr>
            <w:tcW w:w="160" w:type="dxa"/>
            <w:vAlign w:val="bottom"/>
          </w:tcPr>
          <w:p>
            <w:pPr>
              <w:spacing w:after="0"/>
              <w:rPr>
                <w:sz w:val="24"/>
                <w:szCs w:val="24"/>
                <w:color w:val="auto"/>
              </w:rPr>
            </w:pPr>
          </w:p>
        </w:tc>
        <w:tc>
          <w:tcPr>
            <w:tcW w:w="2020" w:type="dxa"/>
            <w:vAlign w:val="bottom"/>
            <w:tcBorders>
              <w:right w:val="single" w:sz="8" w:color="auto"/>
            </w:tcBorders>
          </w:tcPr>
          <w:p>
            <w:pPr>
              <w:jc w:val="right"/>
              <w:ind w:right="19"/>
              <w:spacing w:after="0"/>
              <w:rPr>
                <w:sz w:val="20"/>
                <w:szCs w:val="20"/>
                <w:color w:val="auto"/>
              </w:rPr>
            </w:pPr>
            <w:r>
              <w:rPr>
                <w:rFonts w:ascii="Arial" w:cs="Arial" w:eastAsia="Arial" w:hAnsi="Arial"/>
                <w:sz w:val="20"/>
                <w:szCs w:val="20"/>
                <w:color w:val="auto"/>
              </w:rPr>
              <w:t>(455)</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(1,214)</w:t>
            </w:r>
          </w:p>
        </w:tc>
        <w:tc>
          <w:tcPr>
            <w:tcW w:w="0" w:type="dxa"/>
            <w:vAlign w:val="bottom"/>
          </w:tcPr>
          <w:p>
            <w:pPr>
              <w:spacing w:after="0"/>
              <w:rPr>
                <w:sz w:val="1"/>
                <w:szCs w:val="1"/>
                <w:color w:val="auto"/>
              </w:rPr>
            </w:pPr>
          </w:p>
        </w:tc>
      </w:tr>
      <w:tr>
        <w:trPr>
          <w:trHeight w:val="324"/>
        </w:trPr>
        <w:tc>
          <w:tcPr>
            <w:tcW w:w="620" w:type="dxa"/>
            <w:vAlign w:val="bottom"/>
          </w:tcPr>
          <w:p>
            <w:pPr>
              <w:ind w:left="120"/>
              <w:spacing w:after="0"/>
              <w:rPr>
                <w:sz w:val="20"/>
                <w:szCs w:val="20"/>
                <w:color w:val="auto"/>
              </w:rPr>
            </w:pPr>
            <w:r>
              <w:rPr>
                <w:rFonts w:ascii="Arial" w:cs="Arial" w:eastAsia="Arial" w:hAnsi="Arial"/>
                <w:sz w:val="20"/>
                <w:szCs w:val="20"/>
                <w:color w:val="auto"/>
              </w:rPr>
              <w:t>1.6</w:t>
            </w:r>
          </w:p>
        </w:tc>
        <w:tc>
          <w:tcPr>
            <w:tcW w:w="39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Income taxes paid</w:t>
            </w:r>
          </w:p>
        </w:tc>
        <w:tc>
          <w:tcPr>
            <w:tcW w:w="160" w:type="dxa"/>
            <w:vAlign w:val="bottom"/>
          </w:tcPr>
          <w:p>
            <w:pPr>
              <w:spacing w:after="0"/>
              <w:rPr>
                <w:sz w:val="24"/>
                <w:szCs w:val="24"/>
                <w:color w:val="auto"/>
              </w:rPr>
            </w:pPr>
          </w:p>
        </w:tc>
        <w:tc>
          <w:tcPr>
            <w:tcW w:w="2020" w:type="dxa"/>
            <w:vAlign w:val="bottom"/>
            <w:tcBorders>
              <w:right w:val="single" w:sz="8" w:color="auto"/>
            </w:tcBorders>
          </w:tcPr>
          <w:p>
            <w:pPr>
              <w:jc w:val="right"/>
              <w:ind w:right="19"/>
              <w:spacing w:after="0"/>
              <w:rPr>
                <w:sz w:val="20"/>
                <w:szCs w:val="20"/>
                <w:color w:val="auto"/>
              </w:rPr>
            </w:pPr>
            <w:r>
              <w:rPr>
                <w:rFonts w:ascii="Arial" w:cs="Arial" w:eastAsia="Arial" w:hAnsi="Arial"/>
                <w:sz w:val="20"/>
                <w:szCs w:val="20"/>
                <w:color w:val="auto"/>
              </w:rPr>
              <w:t>-</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620" w:type="dxa"/>
            <w:vAlign w:val="bottom"/>
          </w:tcPr>
          <w:p>
            <w:pPr>
              <w:ind w:left="120"/>
              <w:spacing w:after="0"/>
              <w:rPr>
                <w:sz w:val="20"/>
                <w:szCs w:val="20"/>
                <w:color w:val="auto"/>
              </w:rPr>
            </w:pPr>
            <w:r>
              <w:rPr>
                <w:rFonts w:ascii="Arial" w:cs="Arial" w:eastAsia="Arial" w:hAnsi="Arial"/>
                <w:sz w:val="20"/>
                <w:szCs w:val="20"/>
                <w:color w:val="auto"/>
              </w:rPr>
              <w:t>1.7</w:t>
            </w:r>
          </w:p>
        </w:tc>
        <w:tc>
          <w:tcPr>
            <w:tcW w:w="39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Government grants and tax incentives</w:t>
            </w:r>
          </w:p>
        </w:tc>
        <w:tc>
          <w:tcPr>
            <w:tcW w:w="160" w:type="dxa"/>
            <w:vAlign w:val="bottom"/>
          </w:tcPr>
          <w:p>
            <w:pPr>
              <w:spacing w:after="0"/>
              <w:rPr>
                <w:sz w:val="24"/>
                <w:szCs w:val="24"/>
                <w:color w:val="auto"/>
              </w:rPr>
            </w:pPr>
          </w:p>
        </w:tc>
        <w:tc>
          <w:tcPr>
            <w:tcW w:w="2020" w:type="dxa"/>
            <w:vAlign w:val="bottom"/>
            <w:tcBorders>
              <w:right w:val="single" w:sz="8" w:color="auto"/>
            </w:tcBorders>
          </w:tcPr>
          <w:p>
            <w:pPr>
              <w:jc w:val="right"/>
              <w:ind w:right="19"/>
              <w:spacing w:after="0"/>
              <w:rPr>
                <w:sz w:val="20"/>
                <w:szCs w:val="20"/>
                <w:color w:val="auto"/>
              </w:rPr>
            </w:pPr>
            <w:r>
              <w:rPr>
                <w:rFonts w:ascii="Arial" w:cs="Arial" w:eastAsia="Arial" w:hAnsi="Arial"/>
                <w:sz w:val="20"/>
                <w:szCs w:val="20"/>
                <w:color w:val="auto"/>
              </w:rPr>
              <w:t>-</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185</w:t>
            </w:r>
          </w:p>
        </w:tc>
        <w:tc>
          <w:tcPr>
            <w:tcW w:w="0" w:type="dxa"/>
            <w:vAlign w:val="bottom"/>
          </w:tcPr>
          <w:p>
            <w:pPr>
              <w:spacing w:after="0"/>
              <w:rPr>
                <w:sz w:val="1"/>
                <w:szCs w:val="1"/>
                <w:color w:val="auto"/>
              </w:rPr>
            </w:pPr>
          </w:p>
        </w:tc>
      </w:tr>
      <w:tr>
        <w:trPr>
          <w:trHeight w:val="324"/>
        </w:trPr>
        <w:tc>
          <w:tcPr>
            <w:tcW w:w="620" w:type="dxa"/>
            <w:vAlign w:val="bottom"/>
          </w:tcPr>
          <w:p>
            <w:pPr>
              <w:ind w:left="120"/>
              <w:spacing w:after="0"/>
              <w:rPr>
                <w:sz w:val="20"/>
                <w:szCs w:val="20"/>
                <w:color w:val="auto"/>
              </w:rPr>
            </w:pPr>
            <w:r>
              <w:rPr>
                <w:rFonts w:ascii="Arial" w:cs="Arial" w:eastAsia="Arial" w:hAnsi="Arial"/>
                <w:sz w:val="20"/>
                <w:szCs w:val="20"/>
                <w:color w:val="auto"/>
              </w:rPr>
              <w:t>1.8</w:t>
            </w:r>
          </w:p>
        </w:tc>
        <w:tc>
          <w:tcPr>
            <w:tcW w:w="39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Other (provide details if material)</w:t>
            </w:r>
          </w:p>
        </w:tc>
        <w:tc>
          <w:tcPr>
            <w:tcW w:w="160" w:type="dxa"/>
            <w:vAlign w:val="bottom"/>
          </w:tcPr>
          <w:p>
            <w:pPr>
              <w:spacing w:after="0"/>
              <w:rPr>
                <w:sz w:val="24"/>
                <w:szCs w:val="24"/>
                <w:color w:val="auto"/>
              </w:rPr>
            </w:pPr>
          </w:p>
        </w:tc>
        <w:tc>
          <w:tcPr>
            <w:tcW w:w="2020" w:type="dxa"/>
            <w:vAlign w:val="bottom"/>
            <w:tcBorders>
              <w:right w:val="single" w:sz="8" w:color="auto"/>
            </w:tcBorders>
          </w:tcPr>
          <w:p>
            <w:pPr>
              <w:jc w:val="right"/>
              <w:ind w:right="19"/>
              <w:spacing w:after="0"/>
              <w:rPr>
                <w:sz w:val="20"/>
                <w:szCs w:val="20"/>
                <w:color w:val="auto"/>
              </w:rPr>
            </w:pPr>
            <w:r>
              <w:rPr>
                <w:rFonts w:ascii="Arial" w:cs="Arial" w:eastAsia="Arial" w:hAnsi="Arial"/>
                <w:sz w:val="20"/>
                <w:szCs w:val="20"/>
                <w:color w:val="auto"/>
              </w:rPr>
              <w:t>-</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
        </w:trPr>
        <w:tc>
          <w:tcPr>
            <w:tcW w:w="620" w:type="dxa"/>
            <w:vAlign w:val="bottom"/>
          </w:tcPr>
          <w:p>
            <w:pPr>
              <w:spacing w:after="0"/>
              <w:rPr>
                <w:sz w:val="2"/>
                <w:szCs w:val="2"/>
                <w:color w:val="auto"/>
              </w:rPr>
            </w:pPr>
          </w:p>
        </w:tc>
        <w:tc>
          <w:tcPr>
            <w:tcW w:w="3960" w:type="dxa"/>
            <w:vAlign w:val="bottom"/>
            <w:tcBorders>
              <w:right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620" w:type="dxa"/>
            <w:vAlign w:val="bottom"/>
          </w:tcPr>
          <w:p>
            <w:pPr>
              <w:ind w:left="120"/>
              <w:spacing w:after="0"/>
              <w:rPr>
                <w:sz w:val="20"/>
                <w:szCs w:val="20"/>
                <w:color w:val="auto"/>
              </w:rPr>
            </w:pPr>
            <w:r>
              <w:rPr>
                <w:rFonts w:ascii="Arial" w:cs="Arial" w:eastAsia="Arial" w:hAnsi="Arial"/>
                <w:sz w:val="20"/>
                <w:szCs w:val="20"/>
                <w:b w:val="1"/>
                <w:bCs w:val="1"/>
                <w:color w:val="auto"/>
              </w:rPr>
              <w:t>1.9</w:t>
            </w:r>
          </w:p>
        </w:tc>
        <w:tc>
          <w:tcPr>
            <w:tcW w:w="39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b w:val="1"/>
                <w:bCs w:val="1"/>
                <w:color w:val="auto"/>
              </w:rPr>
              <w:t>Net cash from / (used in) operating</w:t>
            </w:r>
          </w:p>
        </w:tc>
        <w:tc>
          <w:tcPr>
            <w:tcW w:w="160" w:type="dxa"/>
            <w:vAlign w:val="bottom"/>
          </w:tcPr>
          <w:p>
            <w:pPr>
              <w:spacing w:after="0"/>
              <w:rPr>
                <w:sz w:val="20"/>
                <w:szCs w:val="20"/>
                <w:color w:val="auto"/>
              </w:rPr>
            </w:pPr>
          </w:p>
        </w:tc>
        <w:tc>
          <w:tcPr>
            <w:tcW w:w="2020" w:type="dxa"/>
            <w:vAlign w:val="bottom"/>
            <w:tcBorders>
              <w:right w:val="single" w:sz="8" w:color="auto"/>
            </w:tcBorders>
          </w:tcPr>
          <w:p>
            <w:pPr>
              <w:jc w:val="right"/>
              <w:ind w:right="19"/>
              <w:spacing w:after="0"/>
              <w:rPr>
                <w:sz w:val="20"/>
                <w:szCs w:val="20"/>
                <w:color w:val="auto"/>
              </w:rPr>
            </w:pPr>
            <w:r>
              <w:rPr>
                <w:rFonts w:ascii="Arial" w:cs="Arial" w:eastAsia="Arial" w:hAnsi="Arial"/>
                <w:sz w:val="20"/>
                <w:szCs w:val="20"/>
                <w:b w:val="1"/>
                <w:bCs w:val="1"/>
                <w:color w:val="auto"/>
              </w:rPr>
              <w:t>(9,765)</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b w:val="1"/>
                <w:bCs w:val="1"/>
                <w:color w:val="auto"/>
              </w:rPr>
              <w:t>(32,820)</w:t>
            </w:r>
          </w:p>
        </w:tc>
        <w:tc>
          <w:tcPr>
            <w:tcW w:w="0" w:type="dxa"/>
            <w:vAlign w:val="bottom"/>
          </w:tcPr>
          <w:p>
            <w:pPr>
              <w:spacing w:after="0"/>
              <w:rPr>
                <w:sz w:val="1"/>
                <w:szCs w:val="1"/>
                <w:color w:val="auto"/>
              </w:rPr>
            </w:pPr>
          </w:p>
        </w:tc>
      </w:tr>
      <w:tr>
        <w:trPr>
          <w:trHeight w:val="273"/>
        </w:trPr>
        <w:tc>
          <w:tcPr>
            <w:tcW w:w="620" w:type="dxa"/>
            <w:vAlign w:val="bottom"/>
          </w:tcPr>
          <w:p>
            <w:pPr>
              <w:spacing w:after="0"/>
              <w:rPr>
                <w:sz w:val="23"/>
                <w:szCs w:val="23"/>
                <w:color w:val="auto"/>
              </w:rPr>
            </w:pPr>
          </w:p>
        </w:tc>
        <w:tc>
          <w:tcPr>
            <w:tcW w:w="396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b w:val="1"/>
                <w:bCs w:val="1"/>
                <w:color w:val="auto"/>
              </w:rPr>
              <w:t>activities</w:t>
            </w:r>
          </w:p>
        </w:tc>
        <w:tc>
          <w:tcPr>
            <w:tcW w:w="160" w:type="dxa"/>
            <w:vAlign w:val="bottom"/>
          </w:tcPr>
          <w:p>
            <w:pPr>
              <w:spacing w:after="0"/>
              <w:rPr>
                <w:sz w:val="23"/>
                <w:szCs w:val="23"/>
                <w:color w:val="auto"/>
              </w:rPr>
            </w:pPr>
          </w:p>
        </w:tc>
        <w:tc>
          <w:tcPr>
            <w:tcW w:w="2020" w:type="dxa"/>
            <w:vAlign w:val="bottom"/>
            <w:tcBorders>
              <w:right w:val="single" w:sz="8" w:color="auto"/>
            </w:tcBorders>
          </w:tcPr>
          <w:p>
            <w:pPr>
              <w:spacing w:after="0"/>
              <w:rPr>
                <w:sz w:val="23"/>
                <w:szCs w:val="23"/>
                <w:color w:val="auto"/>
              </w:rPr>
            </w:pPr>
          </w:p>
        </w:tc>
        <w:tc>
          <w:tcPr>
            <w:tcW w:w="2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right w:val="single" w:sz="8" w:color="auto"/>
            </w:tcBorders>
          </w:tcPr>
          <w:p>
            <w:pPr>
              <w:spacing w:after="0" w:line="20" w:lineRule="exact"/>
              <w:rPr>
                <w:sz w:val="1"/>
                <w:szCs w:val="1"/>
                <w:color w:val="auto"/>
              </w:rPr>
            </w:pPr>
          </w:p>
        </w:tc>
        <w:tc>
          <w:tcPr>
            <w:tcW w:w="2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6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3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32"/>
        </w:trPr>
        <w:tc>
          <w:tcPr>
            <w:tcW w:w="620" w:type="dxa"/>
            <w:vAlign w:val="bottom"/>
            <w:tcBorders>
              <w:bottom w:val="single" w:sz="8" w:color="01AE42"/>
            </w:tcBorders>
          </w:tcPr>
          <w:p>
            <w:pPr>
              <w:spacing w:after="0"/>
              <w:rPr>
                <w:sz w:val="24"/>
                <w:szCs w:val="24"/>
                <w:color w:val="auto"/>
              </w:rPr>
            </w:pPr>
          </w:p>
        </w:tc>
        <w:tc>
          <w:tcPr>
            <w:tcW w:w="680" w:type="dxa"/>
            <w:vAlign w:val="bottom"/>
            <w:tcBorders>
              <w:bottom w:val="single" w:sz="8" w:color="01AE42"/>
            </w:tcBorders>
          </w:tcPr>
          <w:p>
            <w:pPr>
              <w:spacing w:after="0"/>
              <w:rPr>
                <w:sz w:val="24"/>
                <w:szCs w:val="24"/>
                <w:color w:val="auto"/>
              </w:rPr>
            </w:pPr>
          </w:p>
        </w:tc>
        <w:tc>
          <w:tcPr>
            <w:tcW w:w="2720" w:type="dxa"/>
            <w:vAlign w:val="bottom"/>
            <w:tcBorders>
              <w:bottom w:val="single" w:sz="8" w:color="01AE42"/>
            </w:tcBorders>
          </w:tcPr>
          <w:p>
            <w:pPr>
              <w:spacing w:after="0"/>
              <w:rPr>
                <w:sz w:val="24"/>
                <w:szCs w:val="24"/>
                <w:color w:val="auto"/>
              </w:rPr>
            </w:pPr>
          </w:p>
        </w:tc>
        <w:tc>
          <w:tcPr>
            <w:tcW w:w="560" w:type="dxa"/>
            <w:vAlign w:val="bottom"/>
            <w:tcBorders>
              <w:bottom w:val="single" w:sz="8" w:color="01AE42"/>
            </w:tcBorders>
          </w:tcPr>
          <w:p>
            <w:pPr>
              <w:spacing w:after="0"/>
              <w:rPr>
                <w:sz w:val="24"/>
                <w:szCs w:val="24"/>
                <w:color w:val="auto"/>
              </w:rPr>
            </w:pPr>
          </w:p>
        </w:tc>
        <w:tc>
          <w:tcPr>
            <w:tcW w:w="160" w:type="dxa"/>
            <w:vAlign w:val="bottom"/>
            <w:tcBorders>
              <w:bottom w:val="single" w:sz="8" w:color="01AE42"/>
            </w:tcBorders>
          </w:tcPr>
          <w:p>
            <w:pPr>
              <w:spacing w:after="0"/>
              <w:rPr>
                <w:sz w:val="24"/>
                <w:szCs w:val="24"/>
                <w:color w:val="auto"/>
              </w:rPr>
            </w:pPr>
          </w:p>
        </w:tc>
        <w:tc>
          <w:tcPr>
            <w:tcW w:w="2020" w:type="dxa"/>
            <w:vAlign w:val="bottom"/>
            <w:tcBorders>
              <w:bottom w:val="single" w:sz="8" w:color="01AE42"/>
            </w:tcBorders>
          </w:tcPr>
          <w:p>
            <w:pPr>
              <w:spacing w:after="0"/>
              <w:rPr>
                <w:sz w:val="24"/>
                <w:szCs w:val="24"/>
                <w:color w:val="auto"/>
              </w:rPr>
            </w:pPr>
          </w:p>
        </w:tc>
        <w:tc>
          <w:tcPr>
            <w:tcW w:w="2320" w:type="dxa"/>
            <w:vAlign w:val="bottom"/>
            <w:tcBorders>
              <w:bottom w:val="single" w:sz="8" w:color="01AE42"/>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5925185</wp:posOffset>
            </wp:positionH>
            <wp:positionV relativeFrom="paragraph">
              <wp:posOffset>145415</wp:posOffset>
            </wp:positionV>
            <wp:extent cx="462915" cy="4286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2915" cy="428625"/>
                    </a:xfrm>
                    <a:prstGeom prst="rect">
                      <a:avLst/>
                    </a:prstGeom>
                    <a:noFill/>
                  </pic:spPr>
                </pic:pic>
              </a:graphicData>
            </a:graphic>
          </wp:anchor>
        </w:drawing>
        <w:drawing>
          <wp:anchor simplePos="0" relativeHeight="251657728" behindDoc="1" locked="0" layoutInCell="0" allowOverlap="1">
            <wp:simplePos x="0" y="0"/>
            <wp:positionH relativeFrom="column">
              <wp:posOffset>3606165</wp:posOffset>
            </wp:positionH>
            <wp:positionV relativeFrom="paragraph">
              <wp:posOffset>-5567045</wp:posOffset>
            </wp:positionV>
            <wp:extent cx="33655" cy="3511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3511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700" w:type="dxa"/>
            <w:vAlign w:val="bottom"/>
          </w:tcPr>
          <w:p>
            <w:pPr>
              <w:ind w:left="980"/>
              <w:spacing w:after="0"/>
              <w:rPr>
                <w:sz w:val="20"/>
                <w:szCs w:val="20"/>
                <w:color w:val="auto"/>
              </w:rPr>
            </w:pPr>
            <w:r>
              <w:rPr>
                <w:rFonts w:ascii="Arial" w:cs="Arial" w:eastAsia="Arial" w:hAnsi="Arial"/>
                <w:sz w:val="20"/>
                <w:szCs w:val="20"/>
                <w:color w:val="373A36"/>
              </w:rPr>
              <w:t>1029 West 19th Street, Chattanooga, Tennessee, USA, 37408 | novonixgroup.com</w:t>
            </w:r>
          </w:p>
        </w:tc>
        <w:tc>
          <w:tcPr>
            <w:tcW w:w="2340" w:type="dxa"/>
            <w:vAlign w:val="bottom"/>
          </w:tcPr>
          <w:p>
            <w:pPr>
              <w:jc w:val="right"/>
              <w:ind w:right="1681"/>
              <w:spacing w:after="0"/>
              <w:rPr>
                <w:sz w:val="20"/>
                <w:szCs w:val="20"/>
                <w:color w:val="auto"/>
              </w:rPr>
            </w:pPr>
            <w:r>
              <w:rPr>
                <w:rFonts w:ascii="Arial" w:cs="Arial" w:eastAsia="Arial" w:hAnsi="Arial"/>
                <w:sz w:val="20"/>
                <w:szCs w:val="20"/>
                <w:color w:val="auto"/>
              </w:rPr>
              <w:t>9</w:t>
            </w:r>
          </w:p>
        </w:tc>
      </w:tr>
      <w:tr>
        <w:trPr>
          <w:trHeight w:val="1172"/>
        </w:trPr>
        <w:tc>
          <w:tcPr>
            <w:tcW w:w="870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05" w:right="439" w:bottom="1440" w:gutter="0" w:footer="0" w:header="0"/>
        </w:sectPr>
      </w:pPr>
    </w:p>
    <w:bookmarkStart w:id="12" w:name="page13"/>
    <w:bookmarkEnd w:id="12"/>
    <w:tbl>
      <w:tblPr>
        <w:tblLayout w:type="fixed"/>
        <w:tblInd w:w="990" w:type="dxa"/>
        <w:tblCellMar>
          <w:top w:w="0" w:type="dxa"/>
          <w:left w:w="0" w:type="dxa"/>
          <w:bottom w:w="0" w:type="dxa"/>
          <w:right w:w="0" w:type="dxa"/>
        </w:tblCellMar>
      </w:tblPr>
      <w:tr>
        <w:trPr>
          <w:trHeight w:val="335"/>
        </w:trPr>
        <w:tc>
          <w:tcPr>
            <w:tcW w:w="4540" w:type="dxa"/>
            <w:vAlign w:val="bottom"/>
            <w:tcBorders>
              <w:top w:val="single" w:sz="8" w:color="auto"/>
              <w:left w:val="single" w:sz="8" w:color="auto"/>
              <w:right w:val="single" w:sz="8" w:color="auto"/>
            </w:tcBorders>
          </w:tcPr>
          <w:p>
            <w:pPr>
              <w:spacing w:after="0"/>
              <w:rPr>
                <w:sz w:val="24"/>
                <w:szCs w:val="24"/>
                <w:color w:val="auto"/>
              </w:rPr>
            </w:pPr>
          </w:p>
        </w:tc>
        <w:tc>
          <w:tcPr>
            <w:tcW w:w="2300" w:type="dxa"/>
            <w:vAlign w:val="bottom"/>
            <w:tcBorders>
              <w:top w:val="single" w:sz="8" w:color="auto"/>
            </w:tcBorders>
            <w:vMerge w:val="restart"/>
          </w:tcPr>
          <w:p>
            <w:pPr>
              <w:jc w:val="center"/>
              <w:ind w:right="63"/>
              <w:spacing w:after="0"/>
              <w:rPr>
                <w:sz w:val="20"/>
                <w:szCs w:val="20"/>
                <w:color w:val="auto"/>
              </w:rPr>
            </w:pPr>
            <w:r>
              <w:rPr>
                <w:rFonts w:ascii="Arial" w:cs="Arial" w:eastAsia="Arial" w:hAnsi="Arial"/>
                <w:sz w:val="23"/>
                <w:szCs w:val="23"/>
                <w:b w:val="1"/>
                <w:bCs w:val="1"/>
                <w:color w:val="auto"/>
              </w:rPr>
              <w:t>Current quarter</w:t>
            </w:r>
          </w:p>
        </w:tc>
        <w:tc>
          <w:tcPr>
            <w:tcW w:w="2240" w:type="dxa"/>
            <w:vAlign w:val="bottom"/>
            <w:tcBorders>
              <w:top w:val="single" w:sz="8" w:color="auto"/>
            </w:tcBorders>
          </w:tcPr>
          <w:p>
            <w:pPr>
              <w:jc w:val="center"/>
              <w:ind w:right="43"/>
              <w:spacing w:after="0"/>
              <w:rPr>
                <w:sz w:val="20"/>
                <w:szCs w:val="20"/>
                <w:color w:val="auto"/>
              </w:rPr>
            </w:pPr>
            <w:r>
              <w:rPr>
                <w:rFonts w:ascii="Arial" w:cs="Arial" w:eastAsia="Arial" w:hAnsi="Arial"/>
                <w:sz w:val="23"/>
                <w:szCs w:val="23"/>
                <w:b w:val="1"/>
                <w:bCs w:val="1"/>
                <w:color w:val="auto"/>
              </w:rPr>
              <w:t>Year to date</w:t>
            </w:r>
          </w:p>
        </w:tc>
        <w:tc>
          <w:tcPr>
            <w:tcW w:w="0" w:type="dxa"/>
            <w:vAlign w:val="bottom"/>
          </w:tcPr>
          <w:p>
            <w:pPr>
              <w:spacing w:after="0"/>
              <w:rPr>
                <w:sz w:val="1"/>
                <w:szCs w:val="1"/>
                <w:color w:val="auto"/>
              </w:rPr>
            </w:pPr>
          </w:p>
        </w:tc>
      </w:tr>
      <w:tr>
        <w:trPr>
          <w:trHeight w:val="135"/>
        </w:trPr>
        <w:tc>
          <w:tcPr>
            <w:tcW w:w="454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23"/>
                <w:szCs w:val="23"/>
                <w:b w:val="1"/>
                <w:bCs w:val="1"/>
                <w:color w:val="auto"/>
              </w:rPr>
              <w:t>Consolidated statement of cash flows</w:t>
            </w:r>
          </w:p>
        </w:tc>
        <w:tc>
          <w:tcPr>
            <w:tcW w:w="2300" w:type="dxa"/>
            <w:vAlign w:val="bottom"/>
            <w:vMerge w:val="continue"/>
          </w:tcPr>
          <w:p>
            <w:pPr>
              <w:spacing w:after="0"/>
              <w:rPr>
                <w:sz w:val="11"/>
                <w:szCs w:val="11"/>
                <w:color w:val="auto"/>
              </w:rPr>
            </w:pPr>
          </w:p>
        </w:tc>
        <w:tc>
          <w:tcPr>
            <w:tcW w:w="2240" w:type="dxa"/>
            <w:vAlign w:val="bottom"/>
            <w:vMerge w:val="restart"/>
          </w:tcPr>
          <w:p>
            <w:pPr>
              <w:jc w:val="center"/>
              <w:spacing w:after="0"/>
              <w:rPr>
                <w:sz w:val="20"/>
                <w:szCs w:val="20"/>
                <w:color w:val="auto"/>
              </w:rPr>
            </w:pPr>
            <w:r>
              <w:rPr>
                <w:rFonts w:ascii="Arial" w:cs="Arial" w:eastAsia="Arial" w:hAnsi="Arial"/>
                <w:sz w:val="23"/>
                <w:szCs w:val="23"/>
                <w:b w:val="1"/>
                <w:bCs w:val="1"/>
                <w:color w:val="auto"/>
              </w:rPr>
              <w:t>(9 months)</w:t>
            </w:r>
          </w:p>
        </w:tc>
        <w:tc>
          <w:tcPr>
            <w:tcW w:w="0" w:type="dxa"/>
            <w:vAlign w:val="bottom"/>
          </w:tcPr>
          <w:p>
            <w:pPr>
              <w:spacing w:after="0"/>
              <w:rPr>
                <w:sz w:val="1"/>
                <w:szCs w:val="1"/>
                <w:color w:val="auto"/>
              </w:rPr>
            </w:pPr>
          </w:p>
        </w:tc>
      </w:tr>
      <w:tr>
        <w:trPr>
          <w:trHeight w:val="148"/>
        </w:trPr>
        <w:tc>
          <w:tcPr>
            <w:tcW w:w="4540" w:type="dxa"/>
            <w:vAlign w:val="bottom"/>
            <w:tcBorders>
              <w:left w:val="single" w:sz="8" w:color="auto"/>
              <w:right w:val="single" w:sz="8" w:color="auto"/>
            </w:tcBorders>
            <w:vMerge w:val="continue"/>
          </w:tcPr>
          <w:p>
            <w:pPr>
              <w:spacing w:after="0"/>
              <w:rPr>
                <w:sz w:val="12"/>
                <w:szCs w:val="12"/>
                <w:color w:val="auto"/>
              </w:rPr>
            </w:pPr>
          </w:p>
        </w:tc>
        <w:tc>
          <w:tcPr>
            <w:tcW w:w="2300" w:type="dxa"/>
            <w:vAlign w:val="bottom"/>
            <w:vMerge w:val="restart"/>
          </w:tcPr>
          <w:p>
            <w:pPr>
              <w:jc w:val="center"/>
              <w:spacing w:after="0"/>
              <w:rPr>
                <w:sz w:val="20"/>
                <w:szCs w:val="20"/>
                <w:color w:val="auto"/>
              </w:rPr>
            </w:pPr>
            <w:r>
              <w:rPr>
                <w:rFonts w:ascii="Arial" w:cs="Arial" w:eastAsia="Arial" w:hAnsi="Arial"/>
                <w:sz w:val="23"/>
                <w:szCs w:val="23"/>
                <w:b w:val="1"/>
                <w:bCs w:val="1"/>
                <w:color w:val="auto"/>
              </w:rPr>
              <w:t>$USD’000</w:t>
            </w:r>
          </w:p>
        </w:tc>
        <w:tc>
          <w:tcPr>
            <w:tcW w:w="2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40" w:type="dxa"/>
            <w:vAlign w:val="bottom"/>
            <w:tcBorders>
              <w:left w:val="single" w:sz="8" w:color="auto"/>
              <w:right w:val="single" w:sz="8" w:color="auto"/>
            </w:tcBorders>
          </w:tcPr>
          <w:p>
            <w:pPr>
              <w:spacing w:after="0"/>
              <w:rPr>
                <w:sz w:val="15"/>
                <w:szCs w:val="15"/>
                <w:color w:val="auto"/>
              </w:rPr>
            </w:pPr>
          </w:p>
        </w:tc>
        <w:tc>
          <w:tcPr>
            <w:tcW w:w="2300" w:type="dxa"/>
            <w:vAlign w:val="bottom"/>
            <w:vMerge w:val="continue"/>
          </w:tcPr>
          <w:p>
            <w:pPr>
              <w:spacing w:after="0"/>
              <w:rPr>
                <w:sz w:val="15"/>
                <w:szCs w:val="15"/>
                <w:color w:val="auto"/>
              </w:rPr>
            </w:pPr>
          </w:p>
        </w:tc>
        <w:tc>
          <w:tcPr>
            <w:tcW w:w="2240" w:type="dxa"/>
            <w:vAlign w:val="bottom"/>
            <w:vMerge w:val="restart"/>
          </w:tcPr>
          <w:p>
            <w:pPr>
              <w:jc w:val="center"/>
              <w:spacing w:after="0"/>
              <w:rPr>
                <w:sz w:val="20"/>
                <w:szCs w:val="20"/>
                <w:color w:val="auto"/>
              </w:rPr>
            </w:pPr>
            <w:r>
              <w:rPr>
                <w:rFonts w:ascii="Arial" w:cs="Arial" w:eastAsia="Arial" w:hAnsi="Arial"/>
                <w:sz w:val="23"/>
                <w:szCs w:val="23"/>
                <w:b w:val="1"/>
                <w:bCs w:val="1"/>
                <w:color w:val="auto"/>
              </w:rPr>
              <w:t>$USD’000</w:t>
            </w:r>
          </w:p>
        </w:tc>
        <w:tc>
          <w:tcPr>
            <w:tcW w:w="0" w:type="dxa"/>
            <w:vAlign w:val="bottom"/>
          </w:tcPr>
          <w:p>
            <w:pPr>
              <w:spacing w:after="0"/>
              <w:rPr>
                <w:sz w:val="1"/>
                <w:szCs w:val="1"/>
                <w:color w:val="auto"/>
              </w:rPr>
            </w:pPr>
          </w:p>
        </w:tc>
      </w:tr>
      <w:tr>
        <w:trPr>
          <w:trHeight w:val="148"/>
        </w:trPr>
        <w:tc>
          <w:tcPr>
            <w:tcW w:w="4540" w:type="dxa"/>
            <w:vAlign w:val="bottom"/>
            <w:tcBorders>
              <w:left w:val="single" w:sz="8" w:color="auto"/>
              <w:right w:val="single" w:sz="8" w:color="auto"/>
            </w:tcBorders>
          </w:tcPr>
          <w:p>
            <w:pPr>
              <w:spacing w:after="0"/>
              <w:rPr>
                <w:sz w:val="12"/>
                <w:szCs w:val="12"/>
                <w:color w:val="auto"/>
              </w:rPr>
            </w:pPr>
          </w:p>
        </w:tc>
        <w:tc>
          <w:tcPr>
            <w:tcW w:w="2300" w:type="dxa"/>
            <w:vAlign w:val="bottom"/>
          </w:tcPr>
          <w:p>
            <w:pPr>
              <w:spacing w:after="0"/>
              <w:rPr>
                <w:sz w:val="12"/>
                <w:szCs w:val="12"/>
                <w:color w:val="auto"/>
              </w:rPr>
            </w:pPr>
          </w:p>
        </w:tc>
        <w:tc>
          <w:tcPr>
            <w:tcW w:w="2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454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260350</wp:posOffset>
            </wp:positionV>
            <wp:extent cx="6026150" cy="69526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26150" cy="6952615"/>
                    </a:xfrm>
                    <a:prstGeom prst="rect">
                      <a:avLst/>
                    </a:prstGeom>
                    <a:noFill/>
                  </pic:spPr>
                </pic:pic>
              </a:graphicData>
            </a:graphic>
          </wp:anchor>
        </w:drawing>
      </w:r>
    </w:p>
    <w:p>
      <w:pPr>
        <w:ind w:left="1700" w:hanging="603"/>
        <w:spacing w:after="0"/>
        <w:tabs>
          <w:tab w:leader="none" w:pos="17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Cash flows from investing activities</w:t>
      </w:r>
    </w:p>
    <w:p>
      <w:pPr>
        <w:spacing w:after="0" w:line="96" w:lineRule="exact"/>
        <w:rPr>
          <w:rFonts w:ascii="Arial" w:cs="Arial" w:eastAsia="Arial" w:hAnsi="Arial"/>
          <w:sz w:val="20"/>
          <w:szCs w:val="20"/>
          <w:b w:val="1"/>
          <w:bCs w:val="1"/>
          <w:color w:val="auto"/>
        </w:rPr>
      </w:pPr>
    </w:p>
    <w:p>
      <w:pPr>
        <w:ind w:left="1100"/>
        <w:spacing w:after="0"/>
        <w:rPr>
          <w:rFonts w:ascii="Arial" w:cs="Arial" w:eastAsia="Arial" w:hAnsi="Arial"/>
          <w:sz w:val="20"/>
          <w:szCs w:val="20"/>
          <w:b w:val="1"/>
          <w:bCs w:val="1"/>
          <w:color w:val="auto"/>
        </w:rPr>
      </w:pPr>
      <w:r>
        <w:rPr>
          <w:rFonts w:ascii="Arial" w:cs="Arial" w:eastAsia="Arial" w:hAnsi="Arial"/>
          <w:sz w:val="20"/>
          <w:szCs w:val="20"/>
          <w:color w:val="auto"/>
        </w:rPr>
        <w:t>2.1   Payments to acquire or for:</w:t>
      </w:r>
    </w:p>
    <w:p>
      <w:pPr>
        <w:spacing w:after="0" w:line="94" w:lineRule="exact"/>
        <w:rPr>
          <w:sz w:val="20"/>
          <w:szCs w:val="20"/>
          <w:color w:val="auto"/>
        </w:rPr>
      </w:pPr>
    </w:p>
    <w:tbl>
      <w:tblPr>
        <w:tblLayout w:type="fixed"/>
        <w:tblInd w:w="980" w:type="dxa"/>
        <w:tblCellMar>
          <w:top w:w="0" w:type="dxa"/>
          <w:left w:w="0" w:type="dxa"/>
          <w:bottom w:w="0" w:type="dxa"/>
          <w:right w:w="0" w:type="dxa"/>
        </w:tblCellMar>
      </w:tblPr>
      <w:tr>
        <w:trPr>
          <w:trHeight w:val="261"/>
        </w:trPr>
        <w:tc>
          <w:tcPr>
            <w:tcW w:w="560" w:type="dxa"/>
            <w:vAlign w:val="bottom"/>
          </w:tcPr>
          <w:p>
            <w:pPr>
              <w:spacing w:after="0"/>
              <w:rPr>
                <w:sz w:val="22"/>
                <w:szCs w:val="22"/>
                <w:color w:val="auto"/>
              </w:rPr>
            </w:pPr>
          </w:p>
        </w:tc>
        <w:tc>
          <w:tcPr>
            <w:tcW w:w="480" w:type="dxa"/>
            <w:vAlign w:val="bottom"/>
          </w:tcPr>
          <w:p>
            <w:pPr>
              <w:ind w:left="160"/>
              <w:spacing w:after="0"/>
              <w:rPr>
                <w:sz w:val="20"/>
                <w:szCs w:val="20"/>
                <w:color w:val="auto"/>
              </w:rPr>
            </w:pPr>
            <w:r>
              <w:rPr>
                <w:rFonts w:ascii="Arial" w:cs="Arial" w:eastAsia="Arial" w:hAnsi="Arial"/>
                <w:sz w:val="18"/>
                <w:szCs w:val="18"/>
                <w:color w:val="auto"/>
              </w:rPr>
              <w:t>(a)</w:t>
            </w:r>
          </w:p>
        </w:tc>
        <w:tc>
          <w:tcPr>
            <w:tcW w:w="3480" w:type="dxa"/>
            <w:vAlign w:val="bottom"/>
          </w:tcPr>
          <w:p>
            <w:pPr>
              <w:ind w:left="60"/>
              <w:spacing w:after="0"/>
              <w:rPr>
                <w:sz w:val="20"/>
                <w:szCs w:val="20"/>
                <w:color w:val="auto"/>
              </w:rPr>
            </w:pPr>
            <w:r>
              <w:rPr>
                <w:rFonts w:ascii="Arial" w:cs="Arial" w:eastAsia="Arial" w:hAnsi="Arial"/>
                <w:sz w:val="20"/>
                <w:szCs w:val="20"/>
                <w:color w:val="auto"/>
              </w:rPr>
              <w:t>entities</w:t>
            </w:r>
          </w:p>
        </w:tc>
        <w:tc>
          <w:tcPr>
            <w:tcW w:w="292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20"/>
                <w:szCs w:val="20"/>
                <w:color w:val="auto"/>
              </w:rPr>
              <w:t>(b)</w:t>
            </w:r>
          </w:p>
        </w:tc>
        <w:tc>
          <w:tcPr>
            <w:tcW w:w="3480" w:type="dxa"/>
            <w:vAlign w:val="bottom"/>
          </w:tcPr>
          <w:p>
            <w:pPr>
              <w:ind w:left="60"/>
              <w:spacing w:after="0"/>
              <w:rPr>
                <w:sz w:val="20"/>
                <w:szCs w:val="20"/>
                <w:color w:val="auto"/>
              </w:rPr>
            </w:pPr>
            <w:r>
              <w:rPr>
                <w:rFonts w:ascii="Arial" w:cs="Arial" w:eastAsia="Arial" w:hAnsi="Arial"/>
                <w:sz w:val="20"/>
                <w:szCs w:val="20"/>
                <w:color w:val="auto"/>
              </w:rPr>
              <w:t>businesses</w:t>
            </w:r>
          </w:p>
        </w:tc>
        <w:tc>
          <w:tcPr>
            <w:tcW w:w="292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20"/>
                <w:szCs w:val="20"/>
                <w:color w:val="auto"/>
              </w:rPr>
              <w:t>(c)</w:t>
            </w:r>
          </w:p>
        </w:tc>
        <w:tc>
          <w:tcPr>
            <w:tcW w:w="3480" w:type="dxa"/>
            <w:vAlign w:val="bottom"/>
          </w:tcPr>
          <w:p>
            <w:pPr>
              <w:ind w:left="60"/>
              <w:spacing w:after="0"/>
              <w:rPr>
                <w:sz w:val="20"/>
                <w:szCs w:val="20"/>
                <w:color w:val="auto"/>
              </w:rPr>
            </w:pPr>
            <w:r>
              <w:rPr>
                <w:rFonts w:ascii="Arial" w:cs="Arial" w:eastAsia="Arial" w:hAnsi="Arial"/>
                <w:sz w:val="20"/>
                <w:szCs w:val="20"/>
                <w:color w:val="auto"/>
              </w:rPr>
              <w:t>property, plant and equipment</w:t>
            </w:r>
          </w:p>
        </w:tc>
        <w:tc>
          <w:tcPr>
            <w:tcW w:w="2920" w:type="dxa"/>
            <w:vAlign w:val="bottom"/>
          </w:tcPr>
          <w:p>
            <w:pPr>
              <w:jc w:val="right"/>
              <w:ind w:right="701"/>
              <w:spacing w:after="0"/>
              <w:rPr>
                <w:sz w:val="20"/>
                <w:szCs w:val="20"/>
                <w:color w:val="auto"/>
              </w:rPr>
            </w:pPr>
            <w:r>
              <w:rPr>
                <w:rFonts w:ascii="Arial" w:cs="Arial" w:eastAsia="Arial" w:hAnsi="Arial"/>
                <w:sz w:val="20"/>
                <w:szCs w:val="20"/>
                <w:color w:val="auto"/>
              </w:rPr>
              <w:t>(8,360)</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(17,390)</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20"/>
                <w:szCs w:val="20"/>
                <w:color w:val="auto"/>
              </w:rPr>
              <w:t>(d)</w:t>
            </w:r>
          </w:p>
        </w:tc>
        <w:tc>
          <w:tcPr>
            <w:tcW w:w="3480" w:type="dxa"/>
            <w:vAlign w:val="bottom"/>
          </w:tcPr>
          <w:p>
            <w:pPr>
              <w:ind w:left="60"/>
              <w:spacing w:after="0"/>
              <w:rPr>
                <w:sz w:val="20"/>
                <w:szCs w:val="20"/>
                <w:color w:val="auto"/>
              </w:rPr>
            </w:pPr>
            <w:r>
              <w:rPr>
                <w:rFonts w:ascii="Arial" w:cs="Arial" w:eastAsia="Arial" w:hAnsi="Arial"/>
                <w:sz w:val="20"/>
                <w:szCs w:val="20"/>
                <w:color w:val="auto"/>
              </w:rPr>
              <w:t>investments</w:t>
            </w:r>
          </w:p>
        </w:tc>
        <w:tc>
          <w:tcPr>
            <w:tcW w:w="292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20"/>
                <w:szCs w:val="20"/>
                <w:color w:val="auto"/>
              </w:rPr>
              <w:t>(e)</w:t>
            </w:r>
          </w:p>
        </w:tc>
        <w:tc>
          <w:tcPr>
            <w:tcW w:w="3480" w:type="dxa"/>
            <w:vAlign w:val="bottom"/>
          </w:tcPr>
          <w:p>
            <w:pPr>
              <w:ind w:left="60"/>
              <w:spacing w:after="0"/>
              <w:rPr>
                <w:sz w:val="20"/>
                <w:szCs w:val="20"/>
                <w:color w:val="auto"/>
              </w:rPr>
            </w:pPr>
            <w:r>
              <w:rPr>
                <w:rFonts w:ascii="Arial" w:cs="Arial" w:eastAsia="Arial" w:hAnsi="Arial"/>
                <w:sz w:val="20"/>
                <w:szCs w:val="20"/>
                <w:color w:val="auto"/>
              </w:rPr>
              <w:t>intellectual property</w:t>
            </w:r>
          </w:p>
        </w:tc>
        <w:tc>
          <w:tcPr>
            <w:tcW w:w="292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20"/>
                <w:szCs w:val="20"/>
                <w:color w:val="auto"/>
              </w:rPr>
              <w:t>(f)</w:t>
            </w:r>
          </w:p>
        </w:tc>
        <w:tc>
          <w:tcPr>
            <w:tcW w:w="3480" w:type="dxa"/>
            <w:vAlign w:val="bottom"/>
          </w:tcPr>
          <w:p>
            <w:pPr>
              <w:ind w:left="60"/>
              <w:spacing w:after="0"/>
              <w:rPr>
                <w:sz w:val="20"/>
                <w:szCs w:val="20"/>
                <w:color w:val="auto"/>
              </w:rPr>
            </w:pPr>
            <w:r>
              <w:rPr>
                <w:rFonts w:ascii="Arial" w:cs="Arial" w:eastAsia="Arial" w:hAnsi="Arial"/>
                <w:sz w:val="20"/>
                <w:szCs w:val="20"/>
                <w:color w:val="auto"/>
              </w:rPr>
              <w:t>other non-current assets</w:t>
            </w:r>
          </w:p>
        </w:tc>
        <w:tc>
          <w:tcPr>
            <w:tcW w:w="292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560" w:type="dxa"/>
            <w:vAlign w:val="bottom"/>
          </w:tcPr>
          <w:p>
            <w:pPr>
              <w:ind w:left="120"/>
              <w:spacing w:after="0"/>
              <w:rPr>
                <w:sz w:val="20"/>
                <w:szCs w:val="20"/>
                <w:color w:val="auto"/>
              </w:rPr>
            </w:pPr>
            <w:r>
              <w:rPr>
                <w:rFonts w:ascii="Arial" w:cs="Arial" w:eastAsia="Arial" w:hAnsi="Arial"/>
                <w:sz w:val="20"/>
                <w:szCs w:val="20"/>
                <w:color w:val="auto"/>
              </w:rPr>
              <w:t>2.2</w:t>
            </w:r>
          </w:p>
        </w:tc>
        <w:tc>
          <w:tcPr>
            <w:tcW w:w="3960" w:type="dxa"/>
            <w:vAlign w:val="bottom"/>
            <w:gridSpan w:val="2"/>
          </w:tcPr>
          <w:p>
            <w:pPr>
              <w:ind w:left="160"/>
              <w:spacing w:after="0"/>
              <w:rPr>
                <w:sz w:val="20"/>
                <w:szCs w:val="20"/>
                <w:color w:val="auto"/>
              </w:rPr>
            </w:pPr>
            <w:r>
              <w:rPr>
                <w:rFonts w:ascii="Arial" w:cs="Arial" w:eastAsia="Arial" w:hAnsi="Arial"/>
                <w:sz w:val="20"/>
                <w:szCs w:val="20"/>
                <w:color w:val="auto"/>
              </w:rPr>
              <w:t>Proceeds from disposal of:</w:t>
            </w:r>
          </w:p>
        </w:tc>
        <w:tc>
          <w:tcPr>
            <w:tcW w:w="2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6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18"/>
                <w:szCs w:val="18"/>
                <w:color w:val="auto"/>
              </w:rPr>
              <w:t>(a)</w:t>
            </w:r>
          </w:p>
        </w:tc>
        <w:tc>
          <w:tcPr>
            <w:tcW w:w="3480" w:type="dxa"/>
            <w:vAlign w:val="bottom"/>
          </w:tcPr>
          <w:p>
            <w:pPr>
              <w:ind w:left="60"/>
              <w:spacing w:after="0"/>
              <w:rPr>
                <w:sz w:val="20"/>
                <w:szCs w:val="20"/>
                <w:color w:val="auto"/>
              </w:rPr>
            </w:pPr>
            <w:r>
              <w:rPr>
                <w:rFonts w:ascii="Arial" w:cs="Arial" w:eastAsia="Arial" w:hAnsi="Arial"/>
                <w:sz w:val="20"/>
                <w:szCs w:val="20"/>
                <w:color w:val="auto"/>
              </w:rPr>
              <w:t>entities</w:t>
            </w:r>
          </w:p>
        </w:tc>
        <w:tc>
          <w:tcPr>
            <w:tcW w:w="292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20"/>
                <w:szCs w:val="20"/>
                <w:color w:val="auto"/>
              </w:rPr>
              <w:t>(b)</w:t>
            </w:r>
          </w:p>
        </w:tc>
        <w:tc>
          <w:tcPr>
            <w:tcW w:w="3480" w:type="dxa"/>
            <w:vAlign w:val="bottom"/>
          </w:tcPr>
          <w:p>
            <w:pPr>
              <w:ind w:left="60"/>
              <w:spacing w:after="0"/>
              <w:rPr>
                <w:sz w:val="20"/>
                <w:szCs w:val="20"/>
                <w:color w:val="auto"/>
              </w:rPr>
            </w:pPr>
            <w:r>
              <w:rPr>
                <w:rFonts w:ascii="Arial" w:cs="Arial" w:eastAsia="Arial" w:hAnsi="Arial"/>
                <w:sz w:val="20"/>
                <w:szCs w:val="20"/>
                <w:color w:val="auto"/>
              </w:rPr>
              <w:t>businesses</w:t>
            </w:r>
          </w:p>
        </w:tc>
        <w:tc>
          <w:tcPr>
            <w:tcW w:w="292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20"/>
                <w:szCs w:val="20"/>
                <w:color w:val="auto"/>
              </w:rPr>
              <w:t>(c)</w:t>
            </w:r>
          </w:p>
        </w:tc>
        <w:tc>
          <w:tcPr>
            <w:tcW w:w="3480" w:type="dxa"/>
            <w:vAlign w:val="bottom"/>
          </w:tcPr>
          <w:p>
            <w:pPr>
              <w:ind w:left="60"/>
              <w:spacing w:after="0"/>
              <w:rPr>
                <w:sz w:val="20"/>
                <w:szCs w:val="20"/>
                <w:color w:val="auto"/>
              </w:rPr>
            </w:pPr>
            <w:r>
              <w:rPr>
                <w:rFonts w:ascii="Arial" w:cs="Arial" w:eastAsia="Arial" w:hAnsi="Arial"/>
                <w:sz w:val="20"/>
                <w:szCs w:val="20"/>
                <w:color w:val="auto"/>
              </w:rPr>
              <w:t>property, plant and equipment</w:t>
            </w:r>
          </w:p>
        </w:tc>
        <w:tc>
          <w:tcPr>
            <w:tcW w:w="292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20"/>
                <w:szCs w:val="20"/>
                <w:color w:val="auto"/>
              </w:rPr>
              <w:t>(d)</w:t>
            </w:r>
          </w:p>
        </w:tc>
        <w:tc>
          <w:tcPr>
            <w:tcW w:w="3480" w:type="dxa"/>
            <w:vAlign w:val="bottom"/>
          </w:tcPr>
          <w:p>
            <w:pPr>
              <w:ind w:left="60"/>
              <w:spacing w:after="0"/>
              <w:rPr>
                <w:sz w:val="20"/>
                <w:szCs w:val="20"/>
                <w:color w:val="auto"/>
              </w:rPr>
            </w:pPr>
            <w:r>
              <w:rPr>
                <w:rFonts w:ascii="Arial" w:cs="Arial" w:eastAsia="Arial" w:hAnsi="Arial"/>
                <w:sz w:val="20"/>
                <w:szCs w:val="20"/>
                <w:color w:val="auto"/>
              </w:rPr>
              <w:t>investments</w:t>
            </w:r>
          </w:p>
        </w:tc>
        <w:tc>
          <w:tcPr>
            <w:tcW w:w="292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20"/>
                <w:szCs w:val="20"/>
                <w:color w:val="auto"/>
              </w:rPr>
              <w:t>(e)</w:t>
            </w:r>
          </w:p>
        </w:tc>
        <w:tc>
          <w:tcPr>
            <w:tcW w:w="3480" w:type="dxa"/>
            <w:vAlign w:val="bottom"/>
          </w:tcPr>
          <w:p>
            <w:pPr>
              <w:ind w:left="60"/>
              <w:spacing w:after="0"/>
              <w:rPr>
                <w:sz w:val="20"/>
                <w:szCs w:val="20"/>
                <w:color w:val="auto"/>
              </w:rPr>
            </w:pPr>
            <w:r>
              <w:rPr>
                <w:rFonts w:ascii="Arial" w:cs="Arial" w:eastAsia="Arial" w:hAnsi="Arial"/>
                <w:sz w:val="20"/>
                <w:szCs w:val="20"/>
                <w:color w:val="auto"/>
              </w:rPr>
              <w:t>intellectual property</w:t>
            </w:r>
          </w:p>
        </w:tc>
        <w:tc>
          <w:tcPr>
            <w:tcW w:w="292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560" w:type="dxa"/>
            <w:vAlign w:val="bottom"/>
          </w:tcPr>
          <w:p>
            <w:pPr>
              <w:spacing w:after="0"/>
              <w:rPr>
                <w:sz w:val="24"/>
                <w:szCs w:val="24"/>
                <w:color w:val="auto"/>
              </w:rPr>
            </w:pPr>
          </w:p>
        </w:tc>
        <w:tc>
          <w:tcPr>
            <w:tcW w:w="480" w:type="dxa"/>
            <w:vAlign w:val="bottom"/>
          </w:tcPr>
          <w:p>
            <w:pPr>
              <w:ind w:left="160"/>
              <w:spacing w:after="0"/>
              <w:rPr>
                <w:sz w:val="20"/>
                <w:szCs w:val="20"/>
                <w:color w:val="auto"/>
              </w:rPr>
            </w:pPr>
            <w:r>
              <w:rPr>
                <w:rFonts w:ascii="Arial" w:cs="Arial" w:eastAsia="Arial" w:hAnsi="Arial"/>
                <w:sz w:val="20"/>
                <w:szCs w:val="20"/>
                <w:color w:val="auto"/>
              </w:rPr>
              <w:t>(f)</w:t>
            </w:r>
          </w:p>
        </w:tc>
        <w:tc>
          <w:tcPr>
            <w:tcW w:w="3480" w:type="dxa"/>
            <w:vAlign w:val="bottom"/>
          </w:tcPr>
          <w:p>
            <w:pPr>
              <w:ind w:left="60"/>
              <w:spacing w:after="0"/>
              <w:rPr>
                <w:sz w:val="20"/>
                <w:szCs w:val="20"/>
                <w:color w:val="auto"/>
              </w:rPr>
            </w:pPr>
            <w:r>
              <w:rPr>
                <w:rFonts w:ascii="Arial" w:cs="Arial" w:eastAsia="Arial" w:hAnsi="Arial"/>
                <w:sz w:val="20"/>
                <w:szCs w:val="20"/>
                <w:color w:val="auto"/>
              </w:rPr>
              <w:t>other non-current assets</w:t>
            </w:r>
          </w:p>
        </w:tc>
        <w:tc>
          <w:tcPr>
            <w:tcW w:w="292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560" w:type="dxa"/>
            <w:vAlign w:val="bottom"/>
          </w:tcPr>
          <w:p>
            <w:pPr>
              <w:ind w:left="120"/>
              <w:spacing w:after="0"/>
              <w:rPr>
                <w:sz w:val="20"/>
                <w:szCs w:val="20"/>
                <w:color w:val="auto"/>
              </w:rPr>
            </w:pPr>
            <w:r>
              <w:rPr>
                <w:rFonts w:ascii="Arial" w:cs="Arial" w:eastAsia="Arial" w:hAnsi="Arial"/>
                <w:sz w:val="20"/>
                <w:szCs w:val="20"/>
                <w:color w:val="auto"/>
              </w:rPr>
              <w:t>2.3</w:t>
            </w:r>
          </w:p>
        </w:tc>
        <w:tc>
          <w:tcPr>
            <w:tcW w:w="3960" w:type="dxa"/>
            <w:vAlign w:val="bottom"/>
            <w:gridSpan w:val="2"/>
          </w:tcPr>
          <w:p>
            <w:pPr>
              <w:ind w:left="160"/>
              <w:spacing w:after="0"/>
              <w:rPr>
                <w:sz w:val="20"/>
                <w:szCs w:val="20"/>
                <w:color w:val="auto"/>
              </w:rPr>
            </w:pPr>
            <w:r>
              <w:rPr>
                <w:rFonts w:ascii="Arial" w:cs="Arial" w:eastAsia="Arial" w:hAnsi="Arial"/>
                <w:sz w:val="20"/>
                <w:szCs w:val="20"/>
                <w:color w:val="auto"/>
              </w:rPr>
              <w:t>Cash flows from loans to other entities</w:t>
            </w:r>
          </w:p>
        </w:tc>
        <w:tc>
          <w:tcPr>
            <w:tcW w:w="292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560" w:type="dxa"/>
            <w:vAlign w:val="bottom"/>
          </w:tcPr>
          <w:p>
            <w:pPr>
              <w:ind w:left="120"/>
              <w:spacing w:after="0"/>
              <w:rPr>
                <w:sz w:val="20"/>
                <w:szCs w:val="20"/>
                <w:color w:val="auto"/>
              </w:rPr>
            </w:pPr>
            <w:r>
              <w:rPr>
                <w:rFonts w:ascii="Arial" w:cs="Arial" w:eastAsia="Arial" w:hAnsi="Arial"/>
                <w:sz w:val="20"/>
                <w:szCs w:val="20"/>
                <w:color w:val="auto"/>
              </w:rPr>
              <w:t>2.4</w:t>
            </w:r>
          </w:p>
        </w:tc>
        <w:tc>
          <w:tcPr>
            <w:tcW w:w="3960" w:type="dxa"/>
            <w:vAlign w:val="bottom"/>
            <w:gridSpan w:val="2"/>
          </w:tcPr>
          <w:p>
            <w:pPr>
              <w:ind w:left="160"/>
              <w:spacing w:after="0"/>
              <w:rPr>
                <w:sz w:val="20"/>
                <w:szCs w:val="20"/>
                <w:color w:val="auto"/>
              </w:rPr>
            </w:pPr>
            <w:r>
              <w:rPr>
                <w:rFonts w:ascii="Arial" w:cs="Arial" w:eastAsia="Arial" w:hAnsi="Arial"/>
                <w:sz w:val="20"/>
                <w:szCs w:val="20"/>
                <w:color w:val="auto"/>
              </w:rPr>
              <w:t>Dividends received (see note 3)</w:t>
            </w:r>
          </w:p>
        </w:tc>
        <w:tc>
          <w:tcPr>
            <w:tcW w:w="292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560" w:type="dxa"/>
            <w:vAlign w:val="bottom"/>
          </w:tcPr>
          <w:p>
            <w:pPr>
              <w:ind w:left="120"/>
              <w:spacing w:after="0"/>
              <w:rPr>
                <w:sz w:val="20"/>
                <w:szCs w:val="20"/>
                <w:color w:val="auto"/>
              </w:rPr>
            </w:pPr>
            <w:r>
              <w:rPr>
                <w:rFonts w:ascii="Arial" w:cs="Arial" w:eastAsia="Arial" w:hAnsi="Arial"/>
                <w:sz w:val="20"/>
                <w:szCs w:val="20"/>
                <w:color w:val="auto"/>
              </w:rPr>
              <w:t>2.5</w:t>
            </w:r>
          </w:p>
        </w:tc>
        <w:tc>
          <w:tcPr>
            <w:tcW w:w="3960" w:type="dxa"/>
            <w:vAlign w:val="bottom"/>
            <w:gridSpan w:val="2"/>
          </w:tcPr>
          <w:p>
            <w:pPr>
              <w:ind w:left="160"/>
              <w:spacing w:after="0"/>
              <w:rPr>
                <w:sz w:val="20"/>
                <w:szCs w:val="20"/>
                <w:color w:val="auto"/>
              </w:rPr>
            </w:pPr>
            <w:r>
              <w:rPr>
                <w:rFonts w:ascii="Arial" w:cs="Arial" w:eastAsia="Arial" w:hAnsi="Arial"/>
                <w:sz w:val="20"/>
                <w:szCs w:val="20"/>
                <w:color w:val="auto"/>
              </w:rPr>
              <w:t>Other:</w:t>
            </w:r>
          </w:p>
        </w:tc>
        <w:tc>
          <w:tcPr>
            <w:tcW w:w="2920" w:type="dxa"/>
            <w:vAlign w:val="bottom"/>
            <w:vMerge w:val="restart"/>
          </w:tcPr>
          <w:p>
            <w:pPr>
              <w:jc w:val="right"/>
              <w:ind w:right="701"/>
              <w:spacing w:after="0"/>
              <w:rPr>
                <w:sz w:val="20"/>
                <w:szCs w:val="20"/>
                <w:color w:val="auto"/>
              </w:rPr>
            </w:pPr>
            <w:r>
              <w:rPr>
                <w:rFonts w:ascii="Arial" w:cs="Arial" w:eastAsia="Arial" w:hAnsi="Arial"/>
                <w:sz w:val="20"/>
                <w:szCs w:val="20"/>
                <w:color w:val="auto"/>
              </w:rPr>
              <w:t>(809)</w:t>
            </w:r>
          </w:p>
        </w:tc>
        <w:tc>
          <w:tcPr>
            <w:tcW w:w="1640" w:type="dxa"/>
            <w:vAlign w:val="bottom"/>
            <w:vMerge w:val="restart"/>
          </w:tcPr>
          <w:p>
            <w:pPr>
              <w:jc w:val="right"/>
              <w:ind w:right="1"/>
              <w:spacing w:after="0"/>
              <w:rPr>
                <w:sz w:val="20"/>
                <w:szCs w:val="20"/>
                <w:color w:val="auto"/>
              </w:rPr>
            </w:pPr>
            <w:r>
              <w:rPr>
                <w:rFonts w:ascii="Arial" w:cs="Arial" w:eastAsia="Arial" w:hAnsi="Arial"/>
                <w:sz w:val="20"/>
                <w:szCs w:val="20"/>
                <w:color w:val="auto"/>
              </w:rPr>
              <w:t>(754)</w:t>
            </w: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3960" w:type="dxa"/>
            <w:vAlign w:val="bottom"/>
            <w:gridSpan w:val="2"/>
            <w:vMerge w:val="restart"/>
          </w:tcPr>
          <w:p>
            <w:pPr>
              <w:ind w:left="220"/>
              <w:spacing w:after="0"/>
              <w:rPr>
                <w:sz w:val="20"/>
                <w:szCs w:val="20"/>
                <w:color w:val="auto"/>
              </w:rPr>
            </w:pPr>
            <w:r>
              <w:rPr>
                <w:rFonts w:ascii="Arial" w:cs="Arial" w:eastAsia="Arial" w:hAnsi="Arial"/>
                <w:sz w:val="19"/>
                <w:szCs w:val="19"/>
                <w:color w:val="auto"/>
              </w:rPr>
              <w:t>– Refunds / (payments for security</w:t>
            </w:r>
          </w:p>
        </w:tc>
        <w:tc>
          <w:tcPr>
            <w:tcW w:w="292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560" w:type="dxa"/>
            <w:vAlign w:val="bottom"/>
          </w:tcPr>
          <w:p>
            <w:pPr>
              <w:spacing w:after="0"/>
              <w:rPr>
                <w:sz w:val="6"/>
                <w:szCs w:val="6"/>
                <w:color w:val="auto"/>
              </w:rPr>
            </w:pPr>
          </w:p>
        </w:tc>
        <w:tc>
          <w:tcPr>
            <w:tcW w:w="3960" w:type="dxa"/>
            <w:vAlign w:val="bottom"/>
            <w:gridSpan w:val="2"/>
            <w:vMerge w:val="continue"/>
          </w:tcPr>
          <w:p>
            <w:pPr>
              <w:spacing w:after="0"/>
              <w:rPr>
                <w:sz w:val="6"/>
                <w:szCs w:val="6"/>
                <w:color w:val="auto"/>
              </w:rPr>
            </w:pPr>
          </w:p>
        </w:tc>
        <w:tc>
          <w:tcPr>
            <w:tcW w:w="29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9"/>
        </w:trPr>
        <w:tc>
          <w:tcPr>
            <w:tcW w:w="560" w:type="dxa"/>
            <w:vAlign w:val="bottom"/>
          </w:tcPr>
          <w:p>
            <w:pPr>
              <w:spacing w:after="0"/>
              <w:rPr>
                <w:sz w:val="21"/>
                <w:szCs w:val="21"/>
                <w:color w:val="auto"/>
              </w:rPr>
            </w:pPr>
          </w:p>
        </w:tc>
        <w:tc>
          <w:tcPr>
            <w:tcW w:w="3960" w:type="dxa"/>
            <w:vAlign w:val="bottom"/>
            <w:gridSpan w:val="2"/>
          </w:tcPr>
          <w:p>
            <w:pPr>
              <w:ind w:left="160"/>
              <w:spacing w:after="0"/>
              <w:rPr>
                <w:sz w:val="20"/>
                <w:szCs w:val="20"/>
                <w:color w:val="auto"/>
              </w:rPr>
            </w:pPr>
            <w:r>
              <w:rPr>
                <w:rFonts w:ascii="Arial" w:cs="Arial" w:eastAsia="Arial" w:hAnsi="Arial"/>
                <w:sz w:val="19"/>
                <w:szCs w:val="19"/>
                <w:color w:val="auto"/>
              </w:rPr>
              <w:t>deposits)</w:t>
            </w:r>
          </w:p>
        </w:tc>
        <w:tc>
          <w:tcPr>
            <w:tcW w:w="29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9"/>
        </w:trPr>
        <w:tc>
          <w:tcPr>
            <w:tcW w:w="560" w:type="dxa"/>
            <w:vAlign w:val="bottom"/>
          </w:tcPr>
          <w:p>
            <w:pPr>
              <w:spacing w:after="0"/>
              <w:rPr>
                <w:sz w:val="24"/>
                <w:szCs w:val="24"/>
                <w:color w:val="auto"/>
              </w:rPr>
            </w:pPr>
          </w:p>
        </w:tc>
        <w:tc>
          <w:tcPr>
            <w:tcW w:w="3960" w:type="dxa"/>
            <w:vAlign w:val="bottom"/>
            <w:gridSpan w:val="2"/>
          </w:tcPr>
          <w:p>
            <w:pPr>
              <w:ind w:left="160"/>
              <w:spacing w:after="0"/>
              <w:rPr>
                <w:sz w:val="20"/>
                <w:szCs w:val="20"/>
                <w:color w:val="auto"/>
              </w:rPr>
            </w:pPr>
            <w:r>
              <w:rPr>
                <w:rFonts w:ascii="Arial" w:cs="Arial" w:eastAsia="Arial" w:hAnsi="Arial"/>
                <w:sz w:val="20"/>
                <w:szCs w:val="20"/>
                <w:color w:val="auto"/>
              </w:rPr>
              <w:t>- Cash and cash equivalents disposed of</w:t>
            </w:r>
          </w:p>
        </w:tc>
        <w:tc>
          <w:tcPr>
            <w:tcW w:w="2920" w:type="dxa"/>
            <w:vAlign w:val="bottom"/>
            <w:tcBorders>
              <w:bottom w:val="single" w:sz="8" w:color="auto"/>
            </w:tcBorders>
          </w:tcPr>
          <w:p>
            <w:pPr>
              <w:jc w:val="right"/>
              <w:ind w:right="701"/>
              <w:spacing w:after="0"/>
              <w:rPr>
                <w:sz w:val="20"/>
                <w:szCs w:val="20"/>
                <w:color w:val="auto"/>
              </w:rPr>
            </w:pPr>
            <w:r>
              <w:rPr>
                <w:rFonts w:ascii="Arial" w:cs="Arial" w:eastAsia="Arial" w:hAnsi="Arial"/>
                <w:sz w:val="20"/>
                <w:szCs w:val="20"/>
                <w:color w:val="auto"/>
              </w:rPr>
              <w:t>-</w:t>
            </w:r>
          </w:p>
        </w:tc>
        <w:tc>
          <w:tcPr>
            <w:tcW w:w="164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(1,044)</w:t>
            </w:r>
          </w:p>
        </w:tc>
        <w:tc>
          <w:tcPr>
            <w:tcW w:w="0" w:type="dxa"/>
            <w:vAlign w:val="bottom"/>
          </w:tcPr>
          <w:p>
            <w:pPr>
              <w:spacing w:after="0"/>
              <w:rPr>
                <w:sz w:val="1"/>
                <w:szCs w:val="1"/>
                <w:color w:val="auto"/>
              </w:rPr>
            </w:pPr>
          </w:p>
        </w:tc>
      </w:tr>
      <w:tr>
        <w:trPr>
          <w:trHeight w:val="246"/>
        </w:trPr>
        <w:tc>
          <w:tcPr>
            <w:tcW w:w="560" w:type="dxa"/>
            <w:vAlign w:val="bottom"/>
          </w:tcPr>
          <w:p>
            <w:pPr>
              <w:ind w:left="120"/>
              <w:spacing w:after="0"/>
              <w:rPr>
                <w:sz w:val="20"/>
                <w:szCs w:val="20"/>
                <w:color w:val="auto"/>
              </w:rPr>
            </w:pPr>
            <w:r>
              <w:rPr>
                <w:rFonts w:ascii="Arial" w:cs="Arial" w:eastAsia="Arial" w:hAnsi="Arial"/>
                <w:sz w:val="20"/>
                <w:szCs w:val="20"/>
                <w:b w:val="1"/>
                <w:bCs w:val="1"/>
                <w:color w:val="auto"/>
              </w:rPr>
              <w:t>2.6</w:t>
            </w:r>
          </w:p>
        </w:tc>
        <w:tc>
          <w:tcPr>
            <w:tcW w:w="3960" w:type="dxa"/>
            <w:vAlign w:val="bottom"/>
            <w:gridSpan w:val="2"/>
          </w:tcPr>
          <w:p>
            <w:pPr>
              <w:ind w:left="160"/>
              <w:spacing w:after="0"/>
              <w:rPr>
                <w:sz w:val="20"/>
                <w:szCs w:val="20"/>
                <w:color w:val="auto"/>
              </w:rPr>
            </w:pPr>
            <w:r>
              <w:rPr>
                <w:rFonts w:ascii="Arial" w:cs="Arial" w:eastAsia="Arial" w:hAnsi="Arial"/>
                <w:sz w:val="20"/>
                <w:szCs w:val="20"/>
                <w:b w:val="1"/>
                <w:bCs w:val="1"/>
                <w:color w:val="auto"/>
              </w:rPr>
              <w:t>Net cash from / (used in) investing</w:t>
            </w:r>
          </w:p>
        </w:tc>
        <w:tc>
          <w:tcPr>
            <w:tcW w:w="2920" w:type="dxa"/>
            <w:vAlign w:val="bottom"/>
          </w:tcPr>
          <w:p>
            <w:pPr>
              <w:jc w:val="right"/>
              <w:ind w:right="701"/>
              <w:spacing w:after="0"/>
              <w:rPr>
                <w:sz w:val="20"/>
                <w:szCs w:val="20"/>
                <w:color w:val="auto"/>
              </w:rPr>
            </w:pPr>
            <w:r>
              <w:rPr>
                <w:rFonts w:ascii="Arial" w:cs="Arial" w:eastAsia="Arial" w:hAnsi="Arial"/>
                <w:sz w:val="20"/>
                <w:szCs w:val="20"/>
                <w:b w:val="1"/>
                <w:bCs w:val="1"/>
                <w:color w:val="auto"/>
              </w:rPr>
              <w:t>(9,169)</w:t>
            </w:r>
          </w:p>
        </w:tc>
        <w:tc>
          <w:tcPr>
            <w:tcW w:w="1640" w:type="dxa"/>
            <w:vAlign w:val="bottom"/>
          </w:tcPr>
          <w:p>
            <w:pPr>
              <w:jc w:val="right"/>
              <w:ind w:right="1"/>
              <w:spacing w:after="0"/>
              <w:rPr>
                <w:sz w:val="20"/>
                <w:szCs w:val="20"/>
                <w:color w:val="auto"/>
              </w:rPr>
            </w:pPr>
            <w:r>
              <w:rPr>
                <w:rFonts w:ascii="Arial" w:cs="Arial" w:eastAsia="Arial" w:hAnsi="Arial"/>
                <w:sz w:val="20"/>
                <w:szCs w:val="20"/>
                <w:b w:val="1"/>
                <w:bCs w:val="1"/>
                <w:color w:val="auto"/>
              </w:rPr>
              <w:t>(19,188)</w:t>
            </w:r>
          </w:p>
        </w:tc>
        <w:tc>
          <w:tcPr>
            <w:tcW w:w="0" w:type="dxa"/>
            <w:vAlign w:val="bottom"/>
          </w:tcPr>
          <w:p>
            <w:pPr>
              <w:spacing w:after="0"/>
              <w:rPr>
                <w:sz w:val="1"/>
                <w:szCs w:val="1"/>
                <w:color w:val="auto"/>
              </w:rPr>
            </w:pPr>
          </w:p>
        </w:tc>
      </w:tr>
      <w:tr>
        <w:trPr>
          <w:trHeight w:val="273"/>
        </w:trPr>
        <w:tc>
          <w:tcPr>
            <w:tcW w:w="560" w:type="dxa"/>
            <w:vAlign w:val="bottom"/>
          </w:tcPr>
          <w:p>
            <w:pPr>
              <w:spacing w:after="0"/>
              <w:rPr>
                <w:sz w:val="23"/>
                <w:szCs w:val="23"/>
                <w:color w:val="auto"/>
              </w:rPr>
            </w:pPr>
          </w:p>
        </w:tc>
        <w:tc>
          <w:tcPr>
            <w:tcW w:w="3960" w:type="dxa"/>
            <w:vAlign w:val="bottom"/>
            <w:gridSpan w:val="2"/>
          </w:tcPr>
          <w:p>
            <w:pPr>
              <w:ind w:left="160"/>
              <w:spacing w:after="0"/>
              <w:rPr>
                <w:sz w:val="20"/>
                <w:szCs w:val="20"/>
                <w:color w:val="auto"/>
              </w:rPr>
            </w:pPr>
            <w:r>
              <w:rPr>
                <w:rFonts w:ascii="Arial" w:cs="Arial" w:eastAsia="Arial" w:hAnsi="Arial"/>
                <w:sz w:val="20"/>
                <w:szCs w:val="20"/>
                <w:b w:val="1"/>
                <w:bCs w:val="1"/>
                <w:color w:val="auto"/>
              </w:rPr>
              <w:t>activities</w:t>
            </w:r>
          </w:p>
        </w:tc>
        <w:tc>
          <w:tcPr>
            <w:tcW w:w="29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gridSpan w:val="2"/>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560" w:type="dxa"/>
            <w:vAlign w:val="bottom"/>
          </w:tcPr>
          <w:p>
            <w:pPr>
              <w:ind w:left="120"/>
              <w:spacing w:after="0"/>
              <w:rPr>
                <w:sz w:val="20"/>
                <w:szCs w:val="20"/>
                <w:color w:val="auto"/>
              </w:rPr>
            </w:pPr>
            <w:r>
              <w:rPr>
                <w:rFonts w:ascii="Arial" w:cs="Arial" w:eastAsia="Arial" w:hAnsi="Arial"/>
                <w:sz w:val="20"/>
                <w:szCs w:val="20"/>
                <w:b w:val="1"/>
                <w:bCs w:val="1"/>
                <w:color w:val="auto"/>
              </w:rPr>
              <w:t>3.</w:t>
            </w:r>
          </w:p>
        </w:tc>
        <w:tc>
          <w:tcPr>
            <w:tcW w:w="3960" w:type="dxa"/>
            <w:vAlign w:val="bottom"/>
            <w:gridSpan w:val="2"/>
          </w:tcPr>
          <w:p>
            <w:pPr>
              <w:ind w:left="160"/>
              <w:spacing w:after="0"/>
              <w:rPr>
                <w:sz w:val="20"/>
                <w:szCs w:val="20"/>
                <w:color w:val="auto"/>
              </w:rPr>
            </w:pPr>
            <w:r>
              <w:rPr>
                <w:rFonts w:ascii="Arial" w:cs="Arial" w:eastAsia="Arial" w:hAnsi="Arial"/>
                <w:sz w:val="20"/>
                <w:szCs w:val="20"/>
                <w:b w:val="1"/>
                <w:bCs w:val="1"/>
                <w:color w:val="auto"/>
              </w:rPr>
              <w:t>Cash flows from financing activities</w:t>
            </w:r>
          </w:p>
        </w:tc>
        <w:tc>
          <w:tcPr>
            <w:tcW w:w="2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60" w:type="dxa"/>
            <w:vAlign w:val="bottom"/>
          </w:tcPr>
          <w:p>
            <w:pPr>
              <w:ind w:left="120"/>
              <w:spacing w:after="0"/>
              <w:rPr>
                <w:sz w:val="20"/>
                <w:szCs w:val="20"/>
                <w:color w:val="auto"/>
              </w:rPr>
            </w:pPr>
            <w:r>
              <w:rPr>
                <w:rFonts w:ascii="Arial" w:cs="Arial" w:eastAsia="Arial" w:hAnsi="Arial"/>
                <w:sz w:val="20"/>
                <w:szCs w:val="20"/>
                <w:color w:val="auto"/>
              </w:rPr>
              <w:t>3.1</w:t>
            </w:r>
          </w:p>
        </w:tc>
        <w:tc>
          <w:tcPr>
            <w:tcW w:w="3960" w:type="dxa"/>
            <w:vAlign w:val="bottom"/>
            <w:gridSpan w:val="2"/>
          </w:tcPr>
          <w:p>
            <w:pPr>
              <w:ind w:left="160"/>
              <w:spacing w:after="0"/>
              <w:rPr>
                <w:sz w:val="20"/>
                <w:szCs w:val="20"/>
                <w:color w:val="auto"/>
              </w:rPr>
            </w:pPr>
            <w:r>
              <w:rPr>
                <w:rFonts w:ascii="Arial" w:cs="Arial" w:eastAsia="Arial" w:hAnsi="Arial"/>
                <w:sz w:val="20"/>
                <w:szCs w:val="20"/>
                <w:color w:val="auto"/>
              </w:rPr>
              <w:t>Proceeds from issues of equity securities</w:t>
            </w:r>
          </w:p>
        </w:tc>
        <w:tc>
          <w:tcPr>
            <w:tcW w:w="292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560" w:type="dxa"/>
            <w:vAlign w:val="bottom"/>
          </w:tcPr>
          <w:p>
            <w:pPr>
              <w:spacing w:after="0"/>
              <w:rPr>
                <w:sz w:val="22"/>
                <w:szCs w:val="22"/>
                <w:color w:val="auto"/>
              </w:rPr>
            </w:pPr>
          </w:p>
        </w:tc>
        <w:tc>
          <w:tcPr>
            <w:tcW w:w="3960" w:type="dxa"/>
            <w:vAlign w:val="bottom"/>
            <w:gridSpan w:val="2"/>
          </w:tcPr>
          <w:p>
            <w:pPr>
              <w:ind w:left="160"/>
              <w:spacing w:after="0"/>
              <w:rPr>
                <w:sz w:val="20"/>
                <w:szCs w:val="20"/>
                <w:color w:val="auto"/>
              </w:rPr>
            </w:pPr>
            <w:r>
              <w:rPr>
                <w:rFonts w:ascii="Arial" w:cs="Arial" w:eastAsia="Arial" w:hAnsi="Arial"/>
                <w:sz w:val="20"/>
                <w:szCs w:val="20"/>
                <w:color w:val="auto"/>
              </w:rPr>
              <w:t>(excluding convertible debt securities)</w:t>
            </w:r>
          </w:p>
        </w:tc>
        <w:tc>
          <w:tcPr>
            <w:tcW w:w="2920" w:type="dxa"/>
            <w:vAlign w:val="bottom"/>
          </w:tcPr>
          <w:p>
            <w:pPr>
              <w:jc w:val="right"/>
              <w:ind w:right="701"/>
              <w:spacing w:after="0"/>
              <w:rPr>
                <w:sz w:val="20"/>
                <w:szCs w:val="20"/>
                <w:color w:val="auto"/>
              </w:rPr>
            </w:pPr>
            <w:r>
              <w:rPr>
                <w:rFonts w:ascii="Arial" w:cs="Arial" w:eastAsia="Arial" w:hAnsi="Arial"/>
                <w:sz w:val="20"/>
                <w:szCs w:val="20"/>
                <w:color w:val="auto"/>
              </w:rPr>
              <w:t>675</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15,190</w:t>
            </w:r>
          </w:p>
        </w:tc>
        <w:tc>
          <w:tcPr>
            <w:tcW w:w="0" w:type="dxa"/>
            <w:vAlign w:val="bottom"/>
          </w:tcPr>
          <w:p>
            <w:pPr>
              <w:spacing w:after="0"/>
              <w:rPr>
                <w:sz w:val="1"/>
                <w:szCs w:val="1"/>
                <w:color w:val="auto"/>
              </w:rPr>
            </w:pPr>
          </w:p>
        </w:tc>
      </w:tr>
      <w:tr>
        <w:trPr>
          <w:trHeight w:val="279"/>
        </w:trPr>
        <w:tc>
          <w:tcPr>
            <w:tcW w:w="560" w:type="dxa"/>
            <w:vAlign w:val="bottom"/>
          </w:tcPr>
          <w:p>
            <w:pPr>
              <w:ind w:left="120"/>
              <w:spacing w:after="0"/>
              <w:rPr>
                <w:sz w:val="20"/>
                <w:szCs w:val="20"/>
                <w:color w:val="auto"/>
              </w:rPr>
            </w:pPr>
            <w:r>
              <w:rPr>
                <w:rFonts w:ascii="Arial" w:cs="Arial" w:eastAsia="Arial" w:hAnsi="Arial"/>
                <w:sz w:val="20"/>
                <w:szCs w:val="20"/>
                <w:color w:val="auto"/>
              </w:rPr>
              <w:t>3.2</w:t>
            </w:r>
          </w:p>
        </w:tc>
        <w:tc>
          <w:tcPr>
            <w:tcW w:w="3960" w:type="dxa"/>
            <w:vAlign w:val="bottom"/>
            <w:gridSpan w:val="2"/>
          </w:tcPr>
          <w:p>
            <w:pPr>
              <w:ind w:left="160"/>
              <w:spacing w:after="0"/>
              <w:rPr>
                <w:sz w:val="20"/>
                <w:szCs w:val="20"/>
                <w:color w:val="auto"/>
              </w:rPr>
            </w:pPr>
            <w:r>
              <w:rPr>
                <w:rFonts w:ascii="Arial" w:cs="Arial" w:eastAsia="Arial" w:hAnsi="Arial"/>
                <w:sz w:val="20"/>
                <w:szCs w:val="20"/>
                <w:color w:val="auto"/>
              </w:rPr>
              <w:t>Proceeds from issue of convertible debt</w:t>
            </w:r>
          </w:p>
        </w:tc>
        <w:tc>
          <w:tcPr>
            <w:tcW w:w="292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560" w:type="dxa"/>
            <w:vAlign w:val="bottom"/>
          </w:tcPr>
          <w:p>
            <w:pPr>
              <w:spacing w:after="0"/>
              <w:rPr>
                <w:sz w:val="22"/>
                <w:szCs w:val="22"/>
                <w:color w:val="auto"/>
              </w:rPr>
            </w:pPr>
          </w:p>
        </w:tc>
        <w:tc>
          <w:tcPr>
            <w:tcW w:w="3960" w:type="dxa"/>
            <w:vAlign w:val="bottom"/>
            <w:gridSpan w:val="2"/>
          </w:tcPr>
          <w:p>
            <w:pPr>
              <w:ind w:left="160"/>
              <w:spacing w:after="0"/>
              <w:rPr>
                <w:sz w:val="20"/>
                <w:szCs w:val="20"/>
                <w:color w:val="auto"/>
              </w:rPr>
            </w:pPr>
            <w:r>
              <w:rPr>
                <w:rFonts w:ascii="Arial" w:cs="Arial" w:eastAsia="Arial" w:hAnsi="Arial"/>
                <w:sz w:val="20"/>
                <w:szCs w:val="20"/>
                <w:color w:val="auto"/>
              </w:rPr>
              <w:t>securities</w:t>
            </w:r>
          </w:p>
        </w:tc>
        <w:tc>
          <w:tcPr>
            <w:tcW w:w="29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560" w:type="dxa"/>
            <w:vAlign w:val="bottom"/>
          </w:tcPr>
          <w:p>
            <w:pPr>
              <w:ind w:left="120"/>
              <w:spacing w:after="0"/>
              <w:rPr>
                <w:sz w:val="20"/>
                <w:szCs w:val="20"/>
                <w:color w:val="auto"/>
              </w:rPr>
            </w:pPr>
            <w:r>
              <w:rPr>
                <w:rFonts w:ascii="Arial" w:cs="Arial" w:eastAsia="Arial" w:hAnsi="Arial"/>
                <w:sz w:val="20"/>
                <w:szCs w:val="20"/>
                <w:color w:val="auto"/>
              </w:rPr>
              <w:t>3.3</w:t>
            </w:r>
          </w:p>
        </w:tc>
        <w:tc>
          <w:tcPr>
            <w:tcW w:w="3960" w:type="dxa"/>
            <w:vAlign w:val="bottom"/>
            <w:gridSpan w:val="2"/>
          </w:tcPr>
          <w:p>
            <w:pPr>
              <w:ind w:left="160"/>
              <w:spacing w:after="0"/>
              <w:rPr>
                <w:sz w:val="20"/>
                <w:szCs w:val="20"/>
                <w:color w:val="auto"/>
              </w:rPr>
            </w:pPr>
            <w:r>
              <w:rPr>
                <w:rFonts w:ascii="Arial" w:cs="Arial" w:eastAsia="Arial" w:hAnsi="Arial"/>
                <w:sz w:val="20"/>
                <w:szCs w:val="20"/>
                <w:color w:val="auto"/>
              </w:rPr>
              <w:t>Proceeds from exercise of options</w:t>
            </w:r>
          </w:p>
        </w:tc>
        <w:tc>
          <w:tcPr>
            <w:tcW w:w="2920" w:type="dxa"/>
            <w:vAlign w:val="bottom"/>
          </w:tcPr>
          <w:p>
            <w:pPr>
              <w:jc w:val="right"/>
              <w:ind w:right="701"/>
              <w:spacing w:after="0"/>
              <w:rPr>
                <w:sz w:val="20"/>
                <w:szCs w:val="20"/>
                <w:color w:val="auto"/>
              </w:rPr>
            </w:pPr>
            <w:r>
              <w:rPr>
                <w:rFonts w:ascii="Arial" w:cs="Arial" w:eastAsia="Arial" w:hAnsi="Arial"/>
                <w:sz w:val="20"/>
                <w:szCs w:val="20"/>
                <w:color w:val="auto"/>
              </w:rPr>
              <w:t>-</w:t>
            </w:r>
          </w:p>
        </w:tc>
        <w:tc>
          <w:tcPr>
            <w:tcW w:w="16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816610</wp:posOffset>
            </wp:positionV>
            <wp:extent cx="576072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60720" cy="2603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988060</wp:posOffset>
            </wp:positionV>
            <wp:extent cx="462915" cy="428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29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640" w:type="dxa"/>
            <w:vAlign w:val="bottom"/>
          </w:tcPr>
          <w:p>
            <w:pPr>
              <w:ind w:left="980"/>
              <w:spacing w:after="0"/>
              <w:rPr>
                <w:sz w:val="20"/>
                <w:szCs w:val="20"/>
                <w:color w:val="auto"/>
              </w:rPr>
            </w:pPr>
            <w:r>
              <w:rPr>
                <w:rFonts w:ascii="Arial" w:cs="Arial" w:eastAsia="Arial" w:hAnsi="Arial"/>
                <w:sz w:val="20"/>
                <w:szCs w:val="20"/>
                <w:color w:val="373A36"/>
              </w:rPr>
              <w:t>1029 West 19th Street, Chattanooga, Tennessee, USA, 37408 | novonixgroup.com</w:t>
            </w:r>
          </w:p>
        </w:tc>
        <w:tc>
          <w:tcPr>
            <w:tcW w:w="2400" w:type="dxa"/>
            <w:vAlign w:val="bottom"/>
          </w:tcPr>
          <w:p>
            <w:pPr>
              <w:jc w:val="right"/>
              <w:ind w:right="1681"/>
              <w:spacing w:after="0"/>
              <w:rPr>
                <w:sz w:val="20"/>
                <w:szCs w:val="20"/>
                <w:color w:val="auto"/>
              </w:rPr>
            </w:pPr>
            <w:r>
              <w:rPr>
                <w:rFonts w:ascii="Arial" w:cs="Arial" w:eastAsia="Arial" w:hAnsi="Arial"/>
                <w:sz w:val="20"/>
                <w:szCs w:val="20"/>
                <w:color w:val="auto"/>
              </w:rPr>
              <w:t>10</w:t>
            </w:r>
          </w:p>
        </w:tc>
      </w:tr>
      <w:tr>
        <w:trPr>
          <w:trHeight w:val="1172"/>
        </w:trPr>
        <w:tc>
          <w:tcPr>
            <w:tcW w:w="86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12" w:right="439" w:bottom="1440" w:gutter="0" w:footer="0" w:header="0"/>
        </w:sectPr>
      </w:pPr>
    </w:p>
    <w:bookmarkStart w:id="13" w:name="page14"/>
    <w:bookmarkEnd w:id="13"/>
    <w:tbl>
      <w:tblPr>
        <w:tblLayout w:type="fixed"/>
        <w:tblInd w:w="990" w:type="dxa"/>
        <w:tblCellMar>
          <w:top w:w="0" w:type="dxa"/>
          <w:left w:w="0" w:type="dxa"/>
          <w:bottom w:w="0" w:type="dxa"/>
          <w:right w:w="0" w:type="dxa"/>
        </w:tblCellMar>
      </w:tblPr>
      <w:tr>
        <w:trPr>
          <w:trHeight w:val="335"/>
        </w:trPr>
        <w:tc>
          <w:tcPr>
            <w:tcW w:w="640" w:type="dxa"/>
            <w:vAlign w:val="bottom"/>
            <w:tcBorders>
              <w:top w:val="single" w:sz="8" w:color="auto"/>
              <w:left w:val="single" w:sz="8" w:color="auto"/>
            </w:tcBorders>
          </w:tcPr>
          <w:p>
            <w:pPr>
              <w:spacing w:after="0"/>
              <w:rPr>
                <w:sz w:val="24"/>
                <w:szCs w:val="24"/>
                <w:color w:val="auto"/>
              </w:rPr>
            </w:pPr>
          </w:p>
        </w:tc>
        <w:tc>
          <w:tcPr>
            <w:tcW w:w="3920" w:type="dxa"/>
            <w:vAlign w:val="bottom"/>
            <w:tcBorders>
              <w:top w:val="single" w:sz="8" w:color="auto"/>
              <w:right w:val="single" w:sz="8" w:color="auto"/>
            </w:tcBorders>
          </w:tcPr>
          <w:p>
            <w:pPr>
              <w:spacing w:after="0"/>
              <w:rPr>
                <w:sz w:val="24"/>
                <w:szCs w:val="24"/>
                <w:color w:val="auto"/>
              </w:rPr>
            </w:pPr>
          </w:p>
        </w:tc>
        <w:tc>
          <w:tcPr>
            <w:tcW w:w="2200" w:type="dxa"/>
            <w:vAlign w:val="bottom"/>
            <w:tcBorders>
              <w:top w:val="single" w:sz="8" w:color="auto"/>
              <w:right w:val="single" w:sz="8" w:color="auto"/>
            </w:tcBorders>
            <w:vMerge w:val="restart"/>
          </w:tcPr>
          <w:p>
            <w:pPr>
              <w:jc w:val="right"/>
              <w:ind w:right="198"/>
              <w:spacing w:after="0"/>
              <w:rPr>
                <w:sz w:val="20"/>
                <w:szCs w:val="20"/>
                <w:color w:val="auto"/>
              </w:rPr>
            </w:pPr>
            <w:r>
              <w:rPr>
                <w:rFonts w:ascii="Arial" w:cs="Arial" w:eastAsia="Arial" w:hAnsi="Arial"/>
                <w:sz w:val="23"/>
                <w:szCs w:val="23"/>
                <w:b w:val="1"/>
                <w:bCs w:val="1"/>
                <w:color w:val="auto"/>
              </w:rPr>
              <w:t>Current quarter</w:t>
            </w:r>
          </w:p>
        </w:tc>
        <w:tc>
          <w:tcPr>
            <w:tcW w:w="2320" w:type="dxa"/>
            <w:vAlign w:val="bottom"/>
            <w:tcBorders>
              <w:top w:val="single" w:sz="8" w:color="auto"/>
              <w:right w:val="single" w:sz="8" w:color="auto"/>
            </w:tcBorders>
          </w:tcPr>
          <w:p>
            <w:pPr>
              <w:jc w:val="right"/>
              <w:ind w:right="437"/>
              <w:spacing w:after="0"/>
              <w:rPr>
                <w:sz w:val="20"/>
                <w:szCs w:val="20"/>
                <w:color w:val="auto"/>
              </w:rPr>
            </w:pPr>
            <w:r>
              <w:rPr>
                <w:rFonts w:ascii="Arial" w:cs="Arial" w:eastAsia="Arial" w:hAnsi="Arial"/>
                <w:sz w:val="23"/>
                <w:szCs w:val="23"/>
                <w:b w:val="1"/>
                <w:bCs w:val="1"/>
                <w:color w:val="auto"/>
              </w:rPr>
              <w:t>Year to date</w:t>
            </w:r>
          </w:p>
        </w:tc>
        <w:tc>
          <w:tcPr>
            <w:tcW w:w="0" w:type="dxa"/>
            <w:vAlign w:val="bottom"/>
          </w:tcPr>
          <w:p>
            <w:pPr>
              <w:spacing w:after="0"/>
              <w:rPr>
                <w:sz w:val="1"/>
                <w:szCs w:val="1"/>
                <w:color w:val="auto"/>
              </w:rPr>
            </w:pPr>
          </w:p>
        </w:tc>
      </w:tr>
      <w:tr>
        <w:trPr>
          <w:trHeight w:val="135"/>
        </w:trPr>
        <w:tc>
          <w:tcPr>
            <w:tcW w:w="4560" w:type="dxa"/>
            <w:vAlign w:val="bottom"/>
            <w:tcBorders>
              <w:left w:val="single" w:sz="8" w:color="auto"/>
              <w:right w:val="single" w:sz="8" w:color="auto"/>
            </w:tcBorders>
            <w:gridSpan w:val="2"/>
            <w:vMerge w:val="restart"/>
          </w:tcPr>
          <w:p>
            <w:pPr>
              <w:ind w:left="180"/>
              <w:spacing w:after="0"/>
              <w:rPr>
                <w:sz w:val="20"/>
                <w:szCs w:val="20"/>
                <w:color w:val="auto"/>
              </w:rPr>
            </w:pPr>
            <w:r>
              <w:rPr>
                <w:rFonts w:ascii="Arial" w:cs="Arial" w:eastAsia="Arial" w:hAnsi="Arial"/>
                <w:sz w:val="23"/>
                <w:szCs w:val="23"/>
                <w:b w:val="1"/>
                <w:bCs w:val="1"/>
                <w:color w:val="auto"/>
              </w:rPr>
              <w:t>Consolidated statement of cash flows</w:t>
            </w:r>
          </w:p>
        </w:tc>
        <w:tc>
          <w:tcPr>
            <w:tcW w:w="2200" w:type="dxa"/>
            <w:vAlign w:val="bottom"/>
            <w:tcBorders>
              <w:right w:val="single" w:sz="8" w:color="auto"/>
            </w:tcBorders>
            <w:vMerge w:val="continue"/>
          </w:tcPr>
          <w:p>
            <w:pPr>
              <w:spacing w:after="0"/>
              <w:rPr>
                <w:sz w:val="11"/>
                <w:szCs w:val="11"/>
                <w:color w:val="auto"/>
              </w:rPr>
            </w:pPr>
          </w:p>
        </w:tc>
        <w:tc>
          <w:tcPr>
            <w:tcW w:w="2320" w:type="dxa"/>
            <w:vAlign w:val="bottom"/>
            <w:tcBorders>
              <w:right w:val="single" w:sz="8" w:color="auto"/>
            </w:tcBorders>
            <w:vMerge w:val="restart"/>
          </w:tcPr>
          <w:p>
            <w:pPr>
              <w:jc w:val="right"/>
              <w:ind w:right="457"/>
              <w:spacing w:after="0"/>
              <w:rPr>
                <w:sz w:val="20"/>
                <w:szCs w:val="20"/>
                <w:color w:val="auto"/>
              </w:rPr>
            </w:pPr>
            <w:r>
              <w:rPr>
                <w:rFonts w:ascii="Arial" w:cs="Arial" w:eastAsia="Arial" w:hAnsi="Arial"/>
                <w:sz w:val="23"/>
                <w:szCs w:val="23"/>
                <w:b w:val="1"/>
                <w:bCs w:val="1"/>
                <w:color w:val="auto"/>
              </w:rPr>
              <w:t>(9 months)</w:t>
            </w:r>
          </w:p>
        </w:tc>
        <w:tc>
          <w:tcPr>
            <w:tcW w:w="0" w:type="dxa"/>
            <w:vAlign w:val="bottom"/>
          </w:tcPr>
          <w:p>
            <w:pPr>
              <w:spacing w:after="0"/>
              <w:rPr>
                <w:sz w:val="1"/>
                <w:szCs w:val="1"/>
                <w:color w:val="auto"/>
              </w:rPr>
            </w:pPr>
          </w:p>
        </w:tc>
      </w:tr>
      <w:tr>
        <w:trPr>
          <w:trHeight w:val="148"/>
        </w:trPr>
        <w:tc>
          <w:tcPr>
            <w:tcW w:w="4560" w:type="dxa"/>
            <w:vAlign w:val="bottom"/>
            <w:tcBorders>
              <w:left w:val="single" w:sz="8" w:color="auto"/>
              <w:right w:val="single" w:sz="8" w:color="auto"/>
            </w:tcBorders>
            <w:gridSpan w:val="2"/>
            <w:vMerge w:val="continue"/>
          </w:tcPr>
          <w:p>
            <w:pPr>
              <w:spacing w:after="0"/>
              <w:rPr>
                <w:sz w:val="12"/>
                <w:szCs w:val="12"/>
                <w:color w:val="auto"/>
              </w:rPr>
            </w:pPr>
          </w:p>
        </w:tc>
        <w:tc>
          <w:tcPr>
            <w:tcW w:w="2200" w:type="dxa"/>
            <w:vAlign w:val="bottom"/>
            <w:tcBorders>
              <w:right w:val="single" w:sz="8" w:color="auto"/>
            </w:tcBorders>
            <w:vMerge w:val="restart"/>
          </w:tcPr>
          <w:p>
            <w:pPr>
              <w:jc w:val="right"/>
              <w:ind w:right="478"/>
              <w:spacing w:after="0"/>
              <w:rPr>
                <w:sz w:val="20"/>
                <w:szCs w:val="20"/>
                <w:color w:val="auto"/>
              </w:rPr>
            </w:pPr>
            <w:r>
              <w:rPr>
                <w:rFonts w:ascii="Arial" w:cs="Arial" w:eastAsia="Arial" w:hAnsi="Arial"/>
                <w:sz w:val="23"/>
                <w:szCs w:val="23"/>
                <w:b w:val="1"/>
                <w:bCs w:val="1"/>
                <w:color w:val="auto"/>
              </w:rPr>
              <w:t>$USD’000</w:t>
            </w:r>
          </w:p>
        </w:tc>
        <w:tc>
          <w:tcPr>
            <w:tcW w:w="2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0" w:type="dxa"/>
            <w:vAlign w:val="bottom"/>
            <w:tcBorders>
              <w:left w:val="single" w:sz="8" w:color="auto"/>
            </w:tcBorders>
          </w:tcPr>
          <w:p>
            <w:pPr>
              <w:spacing w:after="0"/>
              <w:rPr>
                <w:sz w:val="15"/>
                <w:szCs w:val="15"/>
                <w:color w:val="auto"/>
              </w:rPr>
            </w:pPr>
          </w:p>
        </w:tc>
        <w:tc>
          <w:tcPr>
            <w:tcW w:w="3920" w:type="dxa"/>
            <w:vAlign w:val="bottom"/>
            <w:tcBorders>
              <w:right w:val="single" w:sz="8" w:color="auto"/>
            </w:tcBorders>
          </w:tcPr>
          <w:p>
            <w:pPr>
              <w:spacing w:after="0"/>
              <w:rPr>
                <w:sz w:val="15"/>
                <w:szCs w:val="15"/>
                <w:color w:val="auto"/>
              </w:rPr>
            </w:pPr>
          </w:p>
        </w:tc>
        <w:tc>
          <w:tcPr>
            <w:tcW w:w="2200" w:type="dxa"/>
            <w:vAlign w:val="bottom"/>
            <w:tcBorders>
              <w:right w:val="single" w:sz="8" w:color="auto"/>
            </w:tcBorders>
            <w:vMerge w:val="continue"/>
          </w:tcPr>
          <w:p>
            <w:pPr>
              <w:spacing w:after="0"/>
              <w:rPr>
                <w:sz w:val="15"/>
                <w:szCs w:val="15"/>
                <w:color w:val="auto"/>
              </w:rPr>
            </w:pPr>
          </w:p>
        </w:tc>
        <w:tc>
          <w:tcPr>
            <w:tcW w:w="2320" w:type="dxa"/>
            <w:vAlign w:val="bottom"/>
            <w:tcBorders>
              <w:right w:val="single" w:sz="8" w:color="auto"/>
            </w:tcBorders>
            <w:vMerge w:val="restart"/>
          </w:tcPr>
          <w:p>
            <w:pPr>
              <w:jc w:val="right"/>
              <w:ind w:right="517"/>
              <w:spacing w:after="0"/>
              <w:rPr>
                <w:sz w:val="20"/>
                <w:szCs w:val="20"/>
                <w:color w:val="auto"/>
              </w:rPr>
            </w:pPr>
            <w:r>
              <w:rPr>
                <w:rFonts w:ascii="Arial" w:cs="Arial" w:eastAsia="Arial" w:hAnsi="Arial"/>
                <w:sz w:val="23"/>
                <w:szCs w:val="23"/>
                <w:b w:val="1"/>
                <w:bCs w:val="1"/>
                <w:color w:val="auto"/>
              </w:rPr>
              <w:t>$USD’000</w:t>
            </w:r>
          </w:p>
        </w:tc>
        <w:tc>
          <w:tcPr>
            <w:tcW w:w="0" w:type="dxa"/>
            <w:vAlign w:val="bottom"/>
          </w:tcPr>
          <w:p>
            <w:pPr>
              <w:spacing w:after="0"/>
              <w:rPr>
                <w:sz w:val="1"/>
                <w:szCs w:val="1"/>
                <w:color w:val="auto"/>
              </w:rPr>
            </w:pPr>
          </w:p>
        </w:tc>
      </w:tr>
      <w:tr>
        <w:trPr>
          <w:trHeight w:val="148"/>
        </w:trPr>
        <w:tc>
          <w:tcPr>
            <w:tcW w:w="640" w:type="dxa"/>
            <w:vAlign w:val="bottom"/>
            <w:tcBorders>
              <w:left w:val="single" w:sz="8" w:color="auto"/>
            </w:tcBorders>
          </w:tcPr>
          <w:p>
            <w:pPr>
              <w:spacing w:after="0"/>
              <w:rPr>
                <w:sz w:val="12"/>
                <w:szCs w:val="12"/>
                <w:color w:val="auto"/>
              </w:rPr>
            </w:pPr>
          </w:p>
        </w:tc>
        <w:tc>
          <w:tcPr>
            <w:tcW w:w="392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tcPr>
          <w:p>
            <w:pPr>
              <w:spacing w:after="0"/>
              <w:rPr>
                <w:sz w:val="12"/>
                <w:szCs w:val="12"/>
                <w:color w:val="auto"/>
              </w:rPr>
            </w:pPr>
          </w:p>
        </w:tc>
        <w:tc>
          <w:tcPr>
            <w:tcW w:w="23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40" w:type="dxa"/>
            <w:vAlign w:val="bottom"/>
            <w:tcBorders>
              <w:left w:val="single" w:sz="8" w:color="auto"/>
              <w:bottom w:val="single" w:sz="8" w:color="auto"/>
            </w:tcBorders>
          </w:tcPr>
          <w:p>
            <w:pPr>
              <w:spacing w:after="0"/>
              <w:rPr>
                <w:sz w:val="2"/>
                <w:szCs w:val="2"/>
                <w:color w:val="auto"/>
              </w:rPr>
            </w:pPr>
          </w:p>
        </w:tc>
        <w:tc>
          <w:tcPr>
            <w:tcW w:w="3920" w:type="dxa"/>
            <w:vAlign w:val="bottom"/>
            <w:tcBorders>
              <w:bottom w:val="single" w:sz="8" w:color="auto"/>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40" w:type="dxa"/>
            <w:vAlign w:val="bottom"/>
          </w:tcPr>
          <w:p>
            <w:pPr>
              <w:ind w:left="120"/>
              <w:spacing w:after="0"/>
              <w:rPr>
                <w:sz w:val="20"/>
                <w:szCs w:val="20"/>
                <w:color w:val="auto"/>
              </w:rPr>
            </w:pPr>
            <w:r>
              <w:rPr>
                <w:rFonts w:ascii="Arial" w:cs="Arial" w:eastAsia="Arial" w:hAnsi="Arial"/>
                <w:sz w:val="20"/>
                <w:szCs w:val="20"/>
                <w:color w:val="auto"/>
              </w:rPr>
              <w:t>3.4</w:t>
            </w: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Transaction costs related to issues of</w:t>
            </w:r>
          </w:p>
        </w:tc>
        <w:tc>
          <w:tcPr>
            <w:tcW w:w="2200" w:type="dxa"/>
            <w:vAlign w:val="bottom"/>
            <w:tcBorders>
              <w:right w:val="single" w:sz="8" w:color="auto"/>
            </w:tcBorders>
          </w:tcPr>
          <w:p>
            <w:pPr>
              <w:jc w:val="right"/>
              <w:ind w:right="18"/>
              <w:spacing w:after="0"/>
              <w:rPr>
                <w:sz w:val="20"/>
                <w:szCs w:val="20"/>
                <w:color w:val="auto"/>
              </w:rPr>
            </w:pPr>
            <w:r>
              <w:rPr>
                <w:rFonts w:ascii="Arial" w:cs="Arial" w:eastAsia="Arial" w:hAnsi="Arial"/>
                <w:sz w:val="20"/>
                <w:szCs w:val="20"/>
                <w:color w:val="auto"/>
              </w:rPr>
              <w:t>(58)</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(873)</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920" w:type="dxa"/>
            <w:vAlign w:val="bottom"/>
            <w:tcBorders>
              <w:right w:val="single" w:sz="8" w:color="auto"/>
            </w:tcBorders>
          </w:tcPr>
          <w:p>
            <w:pPr>
              <w:ind w:left="80"/>
              <w:spacing w:after="0" w:line="216" w:lineRule="exact"/>
              <w:rPr>
                <w:sz w:val="20"/>
                <w:szCs w:val="20"/>
                <w:color w:val="auto"/>
              </w:rPr>
            </w:pPr>
            <w:r>
              <w:rPr>
                <w:rFonts w:ascii="Arial" w:cs="Arial" w:eastAsia="Arial" w:hAnsi="Arial"/>
                <w:sz w:val="20"/>
                <w:szCs w:val="20"/>
                <w:color w:val="auto"/>
              </w:rPr>
              <w:t>equity securities or convertible debt</w:t>
            </w:r>
          </w:p>
        </w:tc>
        <w:tc>
          <w:tcPr>
            <w:tcW w:w="2200" w:type="dxa"/>
            <w:vAlign w:val="bottom"/>
            <w:tcBorders>
              <w:right w:val="single" w:sz="8" w:color="auto"/>
            </w:tcBorders>
          </w:tcPr>
          <w:p>
            <w:pPr>
              <w:spacing w:after="0"/>
              <w:rPr>
                <w:sz w:val="18"/>
                <w:szCs w:val="18"/>
                <w:color w:val="auto"/>
              </w:rPr>
            </w:pPr>
          </w:p>
        </w:tc>
        <w:tc>
          <w:tcPr>
            <w:tcW w:w="2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40" w:type="dxa"/>
            <w:vAlign w:val="bottom"/>
          </w:tcPr>
          <w:p>
            <w:pPr>
              <w:spacing w:after="0"/>
              <w:rPr>
                <w:sz w:val="22"/>
                <w:szCs w:val="22"/>
                <w:color w:val="auto"/>
              </w:rPr>
            </w:pP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securities</w:t>
            </w:r>
          </w:p>
        </w:tc>
        <w:tc>
          <w:tcPr>
            <w:tcW w:w="2200" w:type="dxa"/>
            <w:vAlign w:val="bottom"/>
            <w:tcBorders>
              <w:right w:val="single" w:sz="8" w:color="auto"/>
            </w:tcBorders>
          </w:tcPr>
          <w:p>
            <w:pPr>
              <w:spacing w:after="0"/>
              <w:rPr>
                <w:sz w:val="22"/>
                <w:szCs w:val="22"/>
                <w:color w:val="auto"/>
              </w:rPr>
            </w:pPr>
          </w:p>
        </w:tc>
        <w:tc>
          <w:tcPr>
            <w:tcW w:w="2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640" w:type="dxa"/>
            <w:vAlign w:val="bottom"/>
          </w:tcPr>
          <w:p>
            <w:pPr>
              <w:ind w:left="120"/>
              <w:spacing w:after="0"/>
              <w:rPr>
                <w:sz w:val="20"/>
                <w:szCs w:val="20"/>
                <w:color w:val="auto"/>
              </w:rPr>
            </w:pPr>
            <w:r>
              <w:rPr>
                <w:rFonts w:ascii="Arial" w:cs="Arial" w:eastAsia="Arial" w:hAnsi="Arial"/>
                <w:sz w:val="20"/>
                <w:szCs w:val="20"/>
                <w:color w:val="auto"/>
              </w:rPr>
              <w:t>3.5</w:t>
            </w: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Proceeds from borrowings</w:t>
            </w:r>
          </w:p>
        </w:tc>
        <w:tc>
          <w:tcPr>
            <w:tcW w:w="2200" w:type="dxa"/>
            <w:vAlign w:val="bottom"/>
            <w:tcBorders>
              <w:right w:val="single" w:sz="8" w:color="auto"/>
            </w:tcBorders>
          </w:tcPr>
          <w:p>
            <w:pPr>
              <w:jc w:val="right"/>
              <w:ind w:right="18"/>
              <w:spacing w:after="0"/>
              <w:rPr>
                <w:sz w:val="20"/>
                <w:szCs w:val="20"/>
                <w:color w:val="auto"/>
              </w:rPr>
            </w:pPr>
            <w:r>
              <w:rPr>
                <w:rFonts w:ascii="Arial" w:cs="Arial" w:eastAsia="Arial" w:hAnsi="Arial"/>
                <w:sz w:val="20"/>
                <w:szCs w:val="20"/>
                <w:color w:val="auto"/>
              </w:rPr>
              <w:t>-</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640" w:type="dxa"/>
            <w:vAlign w:val="bottom"/>
          </w:tcPr>
          <w:p>
            <w:pPr>
              <w:ind w:left="120"/>
              <w:spacing w:after="0"/>
              <w:rPr>
                <w:sz w:val="20"/>
                <w:szCs w:val="20"/>
                <w:color w:val="auto"/>
              </w:rPr>
            </w:pPr>
            <w:r>
              <w:rPr>
                <w:rFonts w:ascii="Arial" w:cs="Arial" w:eastAsia="Arial" w:hAnsi="Arial"/>
                <w:sz w:val="20"/>
                <w:szCs w:val="20"/>
                <w:color w:val="auto"/>
              </w:rPr>
              <w:t>3.6</w:t>
            </w: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Repayment of borrowings</w:t>
            </w:r>
          </w:p>
        </w:tc>
        <w:tc>
          <w:tcPr>
            <w:tcW w:w="2200" w:type="dxa"/>
            <w:vAlign w:val="bottom"/>
            <w:tcBorders>
              <w:right w:val="single" w:sz="8" w:color="auto"/>
            </w:tcBorders>
          </w:tcPr>
          <w:p>
            <w:pPr>
              <w:jc w:val="right"/>
              <w:ind w:right="18"/>
              <w:spacing w:after="0"/>
              <w:rPr>
                <w:sz w:val="20"/>
                <w:szCs w:val="20"/>
                <w:color w:val="auto"/>
              </w:rPr>
            </w:pPr>
            <w:r>
              <w:rPr>
                <w:rFonts w:ascii="Arial" w:cs="Arial" w:eastAsia="Arial" w:hAnsi="Arial"/>
                <w:sz w:val="20"/>
                <w:szCs w:val="20"/>
                <w:color w:val="auto"/>
              </w:rPr>
              <w:t>(7,274)</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(7,805)</w:t>
            </w:r>
          </w:p>
        </w:tc>
        <w:tc>
          <w:tcPr>
            <w:tcW w:w="0" w:type="dxa"/>
            <w:vAlign w:val="bottom"/>
          </w:tcPr>
          <w:p>
            <w:pPr>
              <w:spacing w:after="0"/>
              <w:rPr>
                <w:sz w:val="1"/>
                <w:szCs w:val="1"/>
                <w:color w:val="auto"/>
              </w:rPr>
            </w:pPr>
          </w:p>
        </w:tc>
      </w:tr>
      <w:tr>
        <w:trPr>
          <w:trHeight w:val="279"/>
        </w:trPr>
        <w:tc>
          <w:tcPr>
            <w:tcW w:w="640" w:type="dxa"/>
            <w:vAlign w:val="bottom"/>
          </w:tcPr>
          <w:p>
            <w:pPr>
              <w:ind w:left="120"/>
              <w:spacing w:after="0"/>
              <w:rPr>
                <w:sz w:val="20"/>
                <w:szCs w:val="20"/>
                <w:color w:val="auto"/>
              </w:rPr>
            </w:pPr>
            <w:r>
              <w:rPr>
                <w:rFonts w:ascii="Arial" w:cs="Arial" w:eastAsia="Arial" w:hAnsi="Arial"/>
                <w:sz w:val="20"/>
                <w:szCs w:val="20"/>
                <w:color w:val="auto"/>
              </w:rPr>
              <w:t>3.7</w:t>
            </w: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Transaction costs related to loans and</w:t>
            </w:r>
          </w:p>
        </w:tc>
        <w:tc>
          <w:tcPr>
            <w:tcW w:w="220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640" w:type="dxa"/>
            <w:vAlign w:val="bottom"/>
          </w:tcPr>
          <w:p>
            <w:pPr>
              <w:spacing w:after="0"/>
              <w:rPr>
                <w:sz w:val="22"/>
                <w:szCs w:val="22"/>
                <w:color w:val="auto"/>
              </w:rPr>
            </w:pP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borrowings</w:t>
            </w:r>
          </w:p>
        </w:tc>
        <w:tc>
          <w:tcPr>
            <w:tcW w:w="2200" w:type="dxa"/>
            <w:vAlign w:val="bottom"/>
            <w:tcBorders>
              <w:right w:val="single" w:sz="8" w:color="auto"/>
            </w:tcBorders>
          </w:tcPr>
          <w:p>
            <w:pPr>
              <w:spacing w:after="0"/>
              <w:rPr>
                <w:sz w:val="22"/>
                <w:szCs w:val="22"/>
                <w:color w:val="auto"/>
              </w:rPr>
            </w:pPr>
          </w:p>
        </w:tc>
        <w:tc>
          <w:tcPr>
            <w:tcW w:w="2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640" w:type="dxa"/>
            <w:vAlign w:val="bottom"/>
          </w:tcPr>
          <w:p>
            <w:pPr>
              <w:ind w:left="120"/>
              <w:spacing w:after="0"/>
              <w:rPr>
                <w:sz w:val="20"/>
                <w:szCs w:val="20"/>
                <w:color w:val="auto"/>
              </w:rPr>
            </w:pPr>
            <w:r>
              <w:rPr>
                <w:rFonts w:ascii="Arial" w:cs="Arial" w:eastAsia="Arial" w:hAnsi="Arial"/>
                <w:sz w:val="20"/>
                <w:szCs w:val="20"/>
                <w:color w:val="auto"/>
              </w:rPr>
              <w:t>3.8</w:t>
            </w: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Dividends paid</w:t>
            </w:r>
          </w:p>
        </w:tc>
        <w:tc>
          <w:tcPr>
            <w:tcW w:w="2200" w:type="dxa"/>
            <w:vAlign w:val="bottom"/>
            <w:tcBorders>
              <w:right w:val="single" w:sz="8" w:color="auto"/>
            </w:tcBorders>
          </w:tcPr>
          <w:p>
            <w:pPr>
              <w:spacing w:after="0"/>
              <w:rPr>
                <w:sz w:val="24"/>
                <w:szCs w:val="24"/>
                <w:color w:val="auto"/>
              </w:rPr>
            </w:pPr>
          </w:p>
        </w:tc>
        <w:tc>
          <w:tcPr>
            <w:tcW w:w="2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 w:type="dxa"/>
            <w:vAlign w:val="bottom"/>
          </w:tcPr>
          <w:p>
            <w:pPr>
              <w:ind w:left="120"/>
              <w:spacing w:after="0"/>
              <w:rPr>
                <w:sz w:val="20"/>
                <w:szCs w:val="20"/>
                <w:color w:val="auto"/>
              </w:rPr>
            </w:pPr>
            <w:r>
              <w:rPr>
                <w:rFonts w:ascii="Arial" w:cs="Arial" w:eastAsia="Arial" w:hAnsi="Arial"/>
                <w:sz w:val="20"/>
                <w:szCs w:val="20"/>
                <w:color w:val="auto"/>
              </w:rPr>
              <w:t>3.9</w:t>
            </w: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Other (provide details if material)</w:t>
            </w:r>
          </w:p>
        </w:tc>
        <w:tc>
          <w:tcPr>
            <w:tcW w:w="2200" w:type="dxa"/>
            <w:vAlign w:val="bottom"/>
            <w:tcBorders>
              <w:right w:val="single" w:sz="8" w:color="auto"/>
            </w:tcBorders>
          </w:tcPr>
          <w:p>
            <w:pPr>
              <w:jc w:val="right"/>
              <w:ind w:right="18"/>
              <w:spacing w:after="0"/>
              <w:rPr>
                <w:sz w:val="20"/>
                <w:szCs w:val="20"/>
                <w:color w:val="auto"/>
              </w:rPr>
            </w:pPr>
            <w:r>
              <w:rPr>
                <w:rFonts w:ascii="Arial" w:cs="Arial" w:eastAsia="Arial" w:hAnsi="Arial"/>
                <w:sz w:val="20"/>
                <w:szCs w:val="20"/>
                <w:color w:val="auto"/>
              </w:rPr>
              <w:t>(172)</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(1,078)</w:t>
            </w:r>
          </w:p>
        </w:tc>
        <w:tc>
          <w:tcPr>
            <w:tcW w:w="0" w:type="dxa"/>
            <w:vAlign w:val="bottom"/>
          </w:tcPr>
          <w:p>
            <w:pPr>
              <w:spacing w:after="0"/>
              <w:rPr>
                <w:sz w:val="1"/>
                <w:szCs w:val="1"/>
                <w:color w:val="auto"/>
              </w:rPr>
            </w:pPr>
          </w:p>
        </w:tc>
      </w:tr>
      <w:tr>
        <w:trPr>
          <w:trHeight w:val="30"/>
        </w:trPr>
        <w:tc>
          <w:tcPr>
            <w:tcW w:w="640" w:type="dxa"/>
            <w:vAlign w:val="bottom"/>
          </w:tcPr>
          <w:p>
            <w:pPr>
              <w:spacing w:after="0"/>
              <w:rPr>
                <w:sz w:val="2"/>
                <w:szCs w:val="2"/>
                <w:color w:val="auto"/>
              </w:rPr>
            </w:pPr>
          </w:p>
        </w:tc>
        <w:tc>
          <w:tcPr>
            <w:tcW w:w="3920" w:type="dxa"/>
            <w:vAlign w:val="bottom"/>
            <w:tcBorders>
              <w:right w:val="single" w:sz="8" w:color="auto"/>
            </w:tcBorders>
          </w:tcPr>
          <w:p>
            <w:pPr>
              <w:spacing w:after="0"/>
              <w:rPr>
                <w:sz w:val="2"/>
                <w:szCs w:val="2"/>
                <w:color w:val="auto"/>
              </w:rPr>
            </w:pPr>
          </w:p>
        </w:tc>
        <w:tc>
          <w:tcPr>
            <w:tcW w:w="2200" w:type="dxa"/>
            <w:vAlign w:val="bottom"/>
            <w:tcBorders>
              <w:bottom w:val="single" w:sz="8" w:color="auto"/>
              <w:right w:val="single" w:sz="8" w:color="auto"/>
            </w:tcBorders>
          </w:tcPr>
          <w:p>
            <w:pPr>
              <w:spacing w:after="0"/>
              <w:rPr>
                <w:sz w:val="2"/>
                <w:szCs w:val="2"/>
                <w:color w:val="auto"/>
              </w:rPr>
            </w:pPr>
          </w:p>
        </w:tc>
        <w:tc>
          <w:tcPr>
            <w:tcW w:w="23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640" w:type="dxa"/>
            <w:vAlign w:val="bottom"/>
          </w:tcPr>
          <w:p>
            <w:pPr>
              <w:ind w:left="120"/>
              <w:spacing w:after="0"/>
              <w:rPr>
                <w:sz w:val="20"/>
                <w:szCs w:val="20"/>
                <w:color w:val="auto"/>
              </w:rPr>
            </w:pPr>
            <w:r>
              <w:rPr>
                <w:rFonts w:ascii="Arial" w:cs="Arial" w:eastAsia="Arial" w:hAnsi="Arial"/>
                <w:sz w:val="20"/>
                <w:szCs w:val="20"/>
                <w:b w:val="1"/>
                <w:bCs w:val="1"/>
                <w:color w:val="auto"/>
              </w:rPr>
              <w:t>3.10</w:t>
            </w: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Net cash from / (used in) financing</w:t>
            </w:r>
          </w:p>
        </w:tc>
        <w:tc>
          <w:tcPr>
            <w:tcW w:w="2200" w:type="dxa"/>
            <w:vAlign w:val="bottom"/>
            <w:tcBorders>
              <w:right w:val="single" w:sz="8" w:color="auto"/>
            </w:tcBorders>
          </w:tcPr>
          <w:p>
            <w:pPr>
              <w:jc w:val="right"/>
              <w:ind w:right="18"/>
              <w:spacing w:after="0"/>
              <w:rPr>
                <w:sz w:val="20"/>
                <w:szCs w:val="20"/>
                <w:color w:val="auto"/>
              </w:rPr>
            </w:pPr>
            <w:r>
              <w:rPr>
                <w:rFonts w:ascii="Arial" w:cs="Arial" w:eastAsia="Arial" w:hAnsi="Arial"/>
                <w:sz w:val="20"/>
                <w:szCs w:val="20"/>
                <w:b w:val="1"/>
                <w:bCs w:val="1"/>
                <w:color w:val="auto"/>
              </w:rPr>
              <w:t>(6,829)</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b w:val="1"/>
                <w:bCs w:val="1"/>
                <w:color w:val="auto"/>
              </w:rPr>
              <w:t>5,434</w:t>
            </w:r>
          </w:p>
        </w:tc>
        <w:tc>
          <w:tcPr>
            <w:tcW w:w="0" w:type="dxa"/>
            <w:vAlign w:val="bottom"/>
          </w:tcPr>
          <w:p>
            <w:pPr>
              <w:spacing w:after="0"/>
              <w:rPr>
                <w:sz w:val="1"/>
                <w:szCs w:val="1"/>
                <w:color w:val="auto"/>
              </w:rPr>
            </w:pPr>
          </w:p>
        </w:tc>
      </w:tr>
      <w:tr>
        <w:trPr>
          <w:trHeight w:val="273"/>
        </w:trPr>
        <w:tc>
          <w:tcPr>
            <w:tcW w:w="640" w:type="dxa"/>
            <w:vAlign w:val="bottom"/>
          </w:tcPr>
          <w:p>
            <w:pPr>
              <w:spacing w:after="0"/>
              <w:rPr>
                <w:sz w:val="23"/>
                <w:szCs w:val="23"/>
                <w:color w:val="auto"/>
              </w:rPr>
            </w:pP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activities</w:t>
            </w:r>
          </w:p>
        </w:tc>
        <w:tc>
          <w:tcPr>
            <w:tcW w:w="2200" w:type="dxa"/>
            <w:vAlign w:val="bottom"/>
            <w:tcBorders>
              <w:right w:val="single" w:sz="8" w:color="auto"/>
            </w:tcBorders>
          </w:tcPr>
          <w:p>
            <w:pPr>
              <w:spacing w:after="0"/>
              <w:rPr>
                <w:sz w:val="23"/>
                <w:szCs w:val="23"/>
                <w:color w:val="auto"/>
              </w:rPr>
            </w:pPr>
          </w:p>
        </w:tc>
        <w:tc>
          <w:tcPr>
            <w:tcW w:w="2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640" w:type="dxa"/>
            <w:vAlign w:val="bottom"/>
            <w:tcBorders>
              <w:right w:val="single" w:sz="8" w:color="auto"/>
            </w:tcBorders>
          </w:tcPr>
          <w:p>
            <w:pPr>
              <w:ind w:left="120"/>
              <w:spacing w:after="0"/>
              <w:rPr>
                <w:sz w:val="20"/>
                <w:szCs w:val="20"/>
                <w:color w:val="auto"/>
              </w:rPr>
            </w:pPr>
            <w:r>
              <w:rPr>
                <w:rFonts w:ascii="Arial" w:cs="Arial" w:eastAsia="Arial" w:hAnsi="Arial"/>
                <w:sz w:val="20"/>
                <w:szCs w:val="20"/>
                <w:b w:val="1"/>
                <w:bCs w:val="1"/>
                <w:color w:val="auto"/>
              </w:rPr>
              <w:t>4.</w:t>
            </w: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Net increase / (decrease) in cash and</w:t>
            </w:r>
          </w:p>
        </w:tc>
        <w:tc>
          <w:tcPr>
            <w:tcW w:w="2200" w:type="dxa"/>
            <w:vAlign w:val="bottom"/>
            <w:tcBorders>
              <w:right w:val="single" w:sz="8" w:color="auto"/>
            </w:tcBorders>
          </w:tcPr>
          <w:p>
            <w:pPr>
              <w:spacing w:after="0"/>
              <w:rPr>
                <w:sz w:val="20"/>
                <w:szCs w:val="20"/>
                <w:color w:val="auto"/>
              </w:rPr>
            </w:pPr>
          </w:p>
        </w:tc>
        <w:tc>
          <w:tcPr>
            <w:tcW w:w="23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640" w:type="dxa"/>
            <w:vAlign w:val="bottom"/>
            <w:tcBorders>
              <w:right w:val="single" w:sz="8" w:color="auto"/>
            </w:tcBorders>
          </w:tcPr>
          <w:p>
            <w:pPr>
              <w:spacing w:after="0"/>
              <w:rPr>
                <w:sz w:val="23"/>
                <w:szCs w:val="23"/>
                <w:color w:val="auto"/>
              </w:rPr>
            </w:pP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cash equivalents for the period</w:t>
            </w:r>
          </w:p>
        </w:tc>
        <w:tc>
          <w:tcPr>
            <w:tcW w:w="2200" w:type="dxa"/>
            <w:vAlign w:val="bottom"/>
            <w:tcBorders>
              <w:right w:val="single" w:sz="8" w:color="auto"/>
            </w:tcBorders>
          </w:tcPr>
          <w:p>
            <w:pPr>
              <w:spacing w:after="0"/>
              <w:rPr>
                <w:sz w:val="23"/>
                <w:szCs w:val="23"/>
                <w:color w:val="auto"/>
              </w:rPr>
            </w:pPr>
          </w:p>
        </w:tc>
        <w:tc>
          <w:tcPr>
            <w:tcW w:w="2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4.1</w:t>
            </w: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Cash and cash equivalents at beginning</w:t>
            </w:r>
          </w:p>
        </w:tc>
        <w:tc>
          <w:tcPr>
            <w:tcW w:w="2200" w:type="dxa"/>
            <w:vAlign w:val="bottom"/>
            <w:tcBorders>
              <w:right w:val="single" w:sz="8" w:color="auto"/>
            </w:tcBorders>
          </w:tcPr>
          <w:p>
            <w:pPr>
              <w:spacing w:after="0"/>
              <w:rPr>
                <w:sz w:val="23"/>
                <w:szCs w:val="23"/>
                <w:color w:val="auto"/>
              </w:rPr>
            </w:pPr>
          </w:p>
        </w:tc>
        <w:tc>
          <w:tcPr>
            <w:tcW w:w="2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1"/>
        </w:trPr>
        <w:tc>
          <w:tcPr>
            <w:tcW w:w="640" w:type="dxa"/>
            <w:vAlign w:val="bottom"/>
            <w:tcBorders>
              <w:right w:val="single" w:sz="8" w:color="auto"/>
            </w:tcBorders>
          </w:tcPr>
          <w:p>
            <w:pPr>
              <w:spacing w:after="0"/>
              <w:rPr>
                <w:sz w:val="22"/>
                <w:szCs w:val="22"/>
                <w:color w:val="auto"/>
              </w:rPr>
            </w:pP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of period</w:t>
            </w:r>
          </w:p>
        </w:tc>
        <w:tc>
          <w:tcPr>
            <w:tcW w:w="2200" w:type="dxa"/>
            <w:vAlign w:val="bottom"/>
            <w:tcBorders>
              <w:right w:val="single" w:sz="8" w:color="auto"/>
            </w:tcBorders>
          </w:tcPr>
          <w:p>
            <w:pPr>
              <w:jc w:val="right"/>
              <w:ind w:right="18"/>
              <w:spacing w:after="0"/>
              <w:rPr>
                <w:sz w:val="20"/>
                <w:szCs w:val="20"/>
                <w:color w:val="auto"/>
              </w:rPr>
            </w:pPr>
            <w:r>
              <w:rPr>
                <w:rFonts w:ascii="Arial" w:cs="Arial" w:eastAsia="Arial" w:hAnsi="Arial"/>
                <w:sz w:val="20"/>
                <w:szCs w:val="20"/>
                <w:color w:val="auto"/>
              </w:rPr>
              <w:t>59,535</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79,866</w:t>
            </w:r>
          </w:p>
        </w:tc>
        <w:tc>
          <w:tcPr>
            <w:tcW w:w="0" w:type="dxa"/>
            <w:vAlign w:val="bottom"/>
          </w:tcPr>
          <w:p>
            <w:pPr>
              <w:spacing w:after="0"/>
              <w:rPr>
                <w:sz w:val="1"/>
                <w:szCs w:val="1"/>
                <w:color w:val="auto"/>
              </w:rPr>
            </w:pPr>
          </w:p>
        </w:tc>
      </w:tr>
      <w:tr>
        <w:trPr>
          <w:trHeight w:val="279"/>
        </w:trPr>
        <w:tc>
          <w:tcPr>
            <w:tcW w:w="6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4.2</w:t>
            </w: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Net cash from / (used in) operating</w:t>
            </w:r>
          </w:p>
        </w:tc>
        <w:tc>
          <w:tcPr>
            <w:tcW w:w="2200" w:type="dxa"/>
            <w:vAlign w:val="bottom"/>
            <w:tcBorders>
              <w:right w:val="single" w:sz="8" w:color="auto"/>
            </w:tcBorders>
          </w:tcPr>
          <w:p>
            <w:pPr>
              <w:jc w:val="right"/>
              <w:ind w:right="18"/>
              <w:spacing w:after="0"/>
              <w:rPr>
                <w:sz w:val="20"/>
                <w:szCs w:val="20"/>
                <w:color w:val="auto"/>
              </w:rPr>
            </w:pPr>
            <w:r>
              <w:rPr>
                <w:rFonts w:ascii="Arial" w:cs="Arial" w:eastAsia="Arial" w:hAnsi="Arial"/>
                <w:sz w:val="20"/>
                <w:szCs w:val="20"/>
                <w:color w:val="auto"/>
              </w:rPr>
              <w:t>(9,765)</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(32,820)</w:t>
            </w:r>
          </w:p>
        </w:tc>
        <w:tc>
          <w:tcPr>
            <w:tcW w:w="0" w:type="dxa"/>
            <w:vAlign w:val="bottom"/>
          </w:tcPr>
          <w:p>
            <w:pPr>
              <w:spacing w:after="0"/>
              <w:rPr>
                <w:sz w:val="1"/>
                <w:szCs w:val="1"/>
                <w:color w:val="auto"/>
              </w:rPr>
            </w:pPr>
          </w:p>
        </w:tc>
      </w:tr>
      <w:tr>
        <w:trPr>
          <w:trHeight w:val="261"/>
        </w:trPr>
        <w:tc>
          <w:tcPr>
            <w:tcW w:w="640" w:type="dxa"/>
            <w:vAlign w:val="bottom"/>
            <w:tcBorders>
              <w:right w:val="single" w:sz="8" w:color="auto"/>
            </w:tcBorders>
          </w:tcPr>
          <w:p>
            <w:pPr>
              <w:spacing w:after="0"/>
              <w:rPr>
                <w:sz w:val="22"/>
                <w:szCs w:val="22"/>
                <w:color w:val="auto"/>
              </w:rPr>
            </w:pP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activities (item 1.9 above)</w:t>
            </w:r>
          </w:p>
        </w:tc>
        <w:tc>
          <w:tcPr>
            <w:tcW w:w="2200" w:type="dxa"/>
            <w:vAlign w:val="bottom"/>
            <w:tcBorders>
              <w:right w:val="single" w:sz="8" w:color="auto"/>
            </w:tcBorders>
          </w:tcPr>
          <w:p>
            <w:pPr>
              <w:spacing w:after="0"/>
              <w:rPr>
                <w:sz w:val="22"/>
                <w:szCs w:val="22"/>
                <w:color w:val="auto"/>
              </w:rPr>
            </w:pPr>
          </w:p>
        </w:tc>
        <w:tc>
          <w:tcPr>
            <w:tcW w:w="2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6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4.3</w:t>
            </w: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Net cash from / (used in) investing</w:t>
            </w:r>
          </w:p>
        </w:tc>
        <w:tc>
          <w:tcPr>
            <w:tcW w:w="2200" w:type="dxa"/>
            <w:vAlign w:val="bottom"/>
            <w:tcBorders>
              <w:right w:val="single" w:sz="8" w:color="auto"/>
            </w:tcBorders>
          </w:tcPr>
          <w:p>
            <w:pPr>
              <w:jc w:val="right"/>
              <w:ind w:right="18"/>
              <w:spacing w:after="0"/>
              <w:rPr>
                <w:sz w:val="20"/>
                <w:szCs w:val="20"/>
                <w:color w:val="auto"/>
              </w:rPr>
            </w:pPr>
            <w:r>
              <w:rPr>
                <w:rFonts w:ascii="Arial" w:cs="Arial" w:eastAsia="Arial" w:hAnsi="Arial"/>
                <w:sz w:val="20"/>
                <w:szCs w:val="20"/>
                <w:color w:val="auto"/>
              </w:rPr>
              <w:t>(9,169)</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(19,188)</w:t>
            </w:r>
          </w:p>
        </w:tc>
        <w:tc>
          <w:tcPr>
            <w:tcW w:w="0" w:type="dxa"/>
            <w:vAlign w:val="bottom"/>
          </w:tcPr>
          <w:p>
            <w:pPr>
              <w:spacing w:after="0"/>
              <w:rPr>
                <w:sz w:val="1"/>
                <w:szCs w:val="1"/>
                <w:color w:val="auto"/>
              </w:rPr>
            </w:pPr>
          </w:p>
        </w:tc>
      </w:tr>
      <w:tr>
        <w:trPr>
          <w:trHeight w:val="261"/>
        </w:trPr>
        <w:tc>
          <w:tcPr>
            <w:tcW w:w="640" w:type="dxa"/>
            <w:vAlign w:val="bottom"/>
            <w:tcBorders>
              <w:right w:val="single" w:sz="8" w:color="auto"/>
            </w:tcBorders>
          </w:tcPr>
          <w:p>
            <w:pPr>
              <w:spacing w:after="0"/>
              <w:rPr>
                <w:sz w:val="22"/>
                <w:szCs w:val="22"/>
                <w:color w:val="auto"/>
              </w:rPr>
            </w:pP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activities (item 2.6 above)</w:t>
            </w:r>
          </w:p>
        </w:tc>
        <w:tc>
          <w:tcPr>
            <w:tcW w:w="2200" w:type="dxa"/>
            <w:vAlign w:val="bottom"/>
            <w:tcBorders>
              <w:right w:val="single" w:sz="8" w:color="auto"/>
            </w:tcBorders>
          </w:tcPr>
          <w:p>
            <w:pPr>
              <w:spacing w:after="0"/>
              <w:rPr>
                <w:sz w:val="22"/>
                <w:szCs w:val="22"/>
                <w:color w:val="auto"/>
              </w:rPr>
            </w:pPr>
          </w:p>
        </w:tc>
        <w:tc>
          <w:tcPr>
            <w:tcW w:w="2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6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4.4</w:t>
            </w: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Net cash from / (used in) financing</w:t>
            </w:r>
          </w:p>
        </w:tc>
        <w:tc>
          <w:tcPr>
            <w:tcW w:w="2200" w:type="dxa"/>
            <w:vAlign w:val="bottom"/>
            <w:tcBorders>
              <w:right w:val="single" w:sz="8" w:color="auto"/>
            </w:tcBorders>
          </w:tcPr>
          <w:p>
            <w:pPr>
              <w:jc w:val="right"/>
              <w:ind w:right="18"/>
              <w:spacing w:after="0"/>
              <w:rPr>
                <w:sz w:val="20"/>
                <w:szCs w:val="20"/>
                <w:color w:val="auto"/>
              </w:rPr>
            </w:pPr>
            <w:r>
              <w:rPr>
                <w:rFonts w:ascii="Arial" w:cs="Arial" w:eastAsia="Arial" w:hAnsi="Arial"/>
                <w:sz w:val="20"/>
                <w:szCs w:val="20"/>
                <w:color w:val="auto"/>
              </w:rPr>
              <w:t>(6,829)</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5,434</w:t>
            </w:r>
          </w:p>
        </w:tc>
        <w:tc>
          <w:tcPr>
            <w:tcW w:w="0" w:type="dxa"/>
            <w:vAlign w:val="bottom"/>
          </w:tcPr>
          <w:p>
            <w:pPr>
              <w:spacing w:after="0"/>
              <w:rPr>
                <w:sz w:val="1"/>
                <w:szCs w:val="1"/>
                <w:color w:val="auto"/>
              </w:rPr>
            </w:pPr>
          </w:p>
        </w:tc>
      </w:tr>
      <w:tr>
        <w:trPr>
          <w:trHeight w:val="261"/>
        </w:trPr>
        <w:tc>
          <w:tcPr>
            <w:tcW w:w="640" w:type="dxa"/>
            <w:vAlign w:val="bottom"/>
            <w:tcBorders>
              <w:right w:val="single" w:sz="8" w:color="auto"/>
            </w:tcBorders>
          </w:tcPr>
          <w:p>
            <w:pPr>
              <w:spacing w:after="0"/>
              <w:rPr>
                <w:sz w:val="22"/>
                <w:szCs w:val="22"/>
                <w:color w:val="auto"/>
              </w:rPr>
            </w:pP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activities (item 3.10 above)</w:t>
            </w:r>
          </w:p>
        </w:tc>
        <w:tc>
          <w:tcPr>
            <w:tcW w:w="2200" w:type="dxa"/>
            <w:vAlign w:val="bottom"/>
            <w:tcBorders>
              <w:right w:val="single" w:sz="8" w:color="auto"/>
            </w:tcBorders>
          </w:tcPr>
          <w:p>
            <w:pPr>
              <w:spacing w:after="0"/>
              <w:rPr>
                <w:sz w:val="22"/>
                <w:szCs w:val="22"/>
                <w:color w:val="auto"/>
              </w:rPr>
            </w:pPr>
          </w:p>
        </w:tc>
        <w:tc>
          <w:tcPr>
            <w:tcW w:w="23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6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4.5</w:t>
            </w: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Effect of movement in exchange rates on</w:t>
            </w:r>
          </w:p>
        </w:tc>
        <w:tc>
          <w:tcPr>
            <w:tcW w:w="2200" w:type="dxa"/>
            <w:vAlign w:val="bottom"/>
            <w:tcBorders>
              <w:right w:val="single" w:sz="8" w:color="auto"/>
            </w:tcBorders>
          </w:tcPr>
          <w:p>
            <w:pPr>
              <w:jc w:val="right"/>
              <w:ind w:right="18"/>
              <w:spacing w:after="0"/>
              <w:rPr>
                <w:sz w:val="20"/>
                <w:szCs w:val="20"/>
                <w:color w:val="auto"/>
              </w:rPr>
            </w:pPr>
            <w:r>
              <w:rPr>
                <w:rFonts w:ascii="Arial" w:cs="Arial" w:eastAsia="Arial" w:hAnsi="Arial"/>
                <w:sz w:val="20"/>
                <w:szCs w:val="20"/>
                <w:color w:val="auto"/>
              </w:rPr>
              <w:t>(120)</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color w:val="auto"/>
              </w:rPr>
              <w:t>360</w:t>
            </w:r>
          </w:p>
        </w:tc>
        <w:tc>
          <w:tcPr>
            <w:tcW w:w="0" w:type="dxa"/>
            <w:vAlign w:val="bottom"/>
          </w:tcPr>
          <w:p>
            <w:pPr>
              <w:spacing w:after="0"/>
              <w:rPr>
                <w:sz w:val="1"/>
                <w:szCs w:val="1"/>
                <w:color w:val="auto"/>
              </w:rPr>
            </w:pPr>
          </w:p>
        </w:tc>
      </w:tr>
      <w:tr>
        <w:trPr>
          <w:trHeight w:val="272"/>
        </w:trPr>
        <w:tc>
          <w:tcPr>
            <w:tcW w:w="640" w:type="dxa"/>
            <w:vAlign w:val="bottom"/>
            <w:tcBorders>
              <w:right w:val="single" w:sz="8" w:color="auto"/>
            </w:tcBorders>
          </w:tcPr>
          <w:p>
            <w:pPr>
              <w:spacing w:after="0"/>
              <w:rPr>
                <w:sz w:val="23"/>
                <w:szCs w:val="23"/>
                <w:color w:val="auto"/>
              </w:rPr>
            </w:pP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cash held</w:t>
            </w:r>
          </w:p>
        </w:tc>
        <w:tc>
          <w:tcPr>
            <w:tcW w:w="2200" w:type="dxa"/>
            <w:vAlign w:val="bottom"/>
            <w:tcBorders>
              <w:bottom w:val="single" w:sz="8" w:color="auto"/>
              <w:right w:val="single" w:sz="8" w:color="auto"/>
            </w:tcBorders>
          </w:tcPr>
          <w:p>
            <w:pPr>
              <w:spacing w:after="0"/>
              <w:rPr>
                <w:sz w:val="23"/>
                <w:szCs w:val="23"/>
                <w:color w:val="auto"/>
              </w:rPr>
            </w:pPr>
          </w:p>
        </w:tc>
        <w:tc>
          <w:tcPr>
            <w:tcW w:w="23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640" w:type="dxa"/>
            <w:vAlign w:val="bottom"/>
            <w:tcBorders>
              <w:right w:val="single" w:sz="8" w:color="auto"/>
            </w:tcBorders>
          </w:tcPr>
          <w:p>
            <w:pPr>
              <w:ind w:left="120"/>
              <w:spacing w:after="0"/>
              <w:rPr>
                <w:sz w:val="20"/>
                <w:szCs w:val="20"/>
                <w:color w:val="auto"/>
              </w:rPr>
            </w:pPr>
            <w:r>
              <w:rPr>
                <w:rFonts w:ascii="Arial" w:cs="Arial" w:eastAsia="Arial" w:hAnsi="Arial"/>
                <w:sz w:val="20"/>
                <w:szCs w:val="20"/>
                <w:b w:val="1"/>
                <w:bCs w:val="1"/>
                <w:color w:val="auto"/>
              </w:rPr>
              <w:t>4.6</w:t>
            </w: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Cash and cash equivalents at end of</w:t>
            </w:r>
          </w:p>
        </w:tc>
        <w:tc>
          <w:tcPr>
            <w:tcW w:w="2200" w:type="dxa"/>
            <w:vAlign w:val="bottom"/>
            <w:tcBorders>
              <w:right w:val="single" w:sz="8" w:color="auto"/>
            </w:tcBorders>
          </w:tcPr>
          <w:p>
            <w:pPr>
              <w:jc w:val="right"/>
              <w:ind w:right="18"/>
              <w:spacing w:after="0"/>
              <w:rPr>
                <w:sz w:val="20"/>
                <w:szCs w:val="20"/>
                <w:color w:val="auto"/>
              </w:rPr>
            </w:pPr>
            <w:r>
              <w:rPr>
                <w:rFonts w:ascii="Arial" w:cs="Arial" w:eastAsia="Arial" w:hAnsi="Arial"/>
                <w:sz w:val="20"/>
                <w:szCs w:val="20"/>
                <w:b w:val="1"/>
                <w:bCs w:val="1"/>
                <w:color w:val="auto"/>
              </w:rPr>
              <w:t>33,652</w:t>
            </w:r>
          </w:p>
        </w:tc>
        <w:tc>
          <w:tcPr>
            <w:tcW w:w="2320" w:type="dxa"/>
            <w:vAlign w:val="bottom"/>
            <w:tcBorders>
              <w:right w:val="single" w:sz="8" w:color="auto"/>
            </w:tcBorders>
          </w:tcPr>
          <w:p>
            <w:pPr>
              <w:jc w:val="right"/>
              <w:spacing w:after="0"/>
              <w:rPr>
                <w:sz w:val="20"/>
                <w:szCs w:val="20"/>
                <w:color w:val="auto"/>
              </w:rPr>
            </w:pPr>
            <w:r>
              <w:rPr>
                <w:rFonts w:ascii="Arial" w:cs="Arial" w:eastAsia="Arial" w:hAnsi="Arial"/>
                <w:sz w:val="20"/>
                <w:szCs w:val="20"/>
                <w:b w:val="1"/>
                <w:bCs w:val="1"/>
                <w:color w:val="auto"/>
              </w:rPr>
              <w:t>33,652</w:t>
            </w:r>
          </w:p>
        </w:tc>
        <w:tc>
          <w:tcPr>
            <w:tcW w:w="0" w:type="dxa"/>
            <w:vAlign w:val="bottom"/>
          </w:tcPr>
          <w:p>
            <w:pPr>
              <w:spacing w:after="0"/>
              <w:rPr>
                <w:sz w:val="1"/>
                <w:szCs w:val="1"/>
                <w:color w:val="auto"/>
              </w:rPr>
            </w:pPr>
          </w:p>
        </w:tc>
      </w:tr>
      <w:tr>
        <w:trPr>
          <w:trHeight w:val="273"/>
        </w:trPr>
        <w:tc>
          <w:tcPr>
            <w:tcW w:w="640" w:type="dxa"/>
            <w:vAlign w:val="bottom"/>
            <w:tcBorders>
              <w:right w:val="single" w:sz="8" w:color="auto"/>
            </w:tcBorders>
          </w:tcPr>
          <w:p>
            <w:pPr>
              <w:spacing w:after="0"/>
              <w:rPr>
                <w:sz w:val="23"/>
                <w:szCs w:val="23"/>
                <w:color w:val="auto"/>
              </w:rPr>
            </w:pPr>
          </w:p>
        </w:tc>
        <w:tc>
          <w:tcPr>
            <w:tcW w:w="3920" w:type="dxa"/>
            <w:vAlign w:val="bottom"/>
            <w:tcBorders>
              <w:right w:val="single" w:sz="8" w:color="auto"/>
            </w:tcBorders>
          </w:tcPr>
          <w:p>
            <w:pPr>
              <w:ind w:left="80"/>
              <w:spacing w:after="0"/>
              <w:rPr>
                <w:sz w:val="20"/>
                <w:szCs w:val="20"/>
                <w:color w:val="auto"/>
              </w:rPr>
            </w:pPr>
            <w:r>
              <w:rPr>
                <w:rFonts w:ascii="Arial" w:cs="Arial" w:eastAsia="Arial" w:hAnsi="Arial"/>
                <w:sz w:val="20"/>
                <w:szCs w:val="20"/>
                <w:b w:val="1"/>
                <w:bCs w:val="1"/>
                <w:color w:val="auto"/>
              </w:rPr>
              <w:t>period</w:t>
            </w:r>
          </w:p>
        </w:tc>
        <w:tc>
          <w:tcPr>
            <w:tcW w:w="2200" w:type="dxa"/>
            <w:vAlign w:val="bottom"/>
            <w:tcBorders>
              <w:right w:val="single" w:sz="8" w:color="auto"/>
            </w:tcBorders>
          </w:tcPr>
          <w:p>
            <w:pPr>
              <w:spacing w:after="0"/>
              <w:rPr>
                <w:sz w:val="23"/>
                <w:szCs w:val="23"/>
                <w:color w:val="auto"/>
              </w:rPr>
            </w:pPr>
          </w:p>
        </w:tc>
        <w:tc>
          <w:tcPr>
            <w:tcW w:w="23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right w:val="single" w:sz="8" w:color="auto"/>
            </w:tcBorders>
          </w:tcPr>
          <w:p>
            <w:pPr>
              <w:spacing w:after="0" w:line="20" w:lineRule="exact"/>
              <w:rPr>
                <w:sz w:val="1"/>
                <w:szCs w:val="1"/>
                <w:color w:val="auto"/>
              </w:rPr>
            </w:pPr>
          </w:p>
        </w:tc>
        <w:tc>
          <w:tcPr>
            <w:tcW w:w="3920" w:type="dxa"/>
            <w:vAlign w:val="bottom"/>
            <w:tcBorders>
              <w:bottom w:val="single" w:sz="8" w:color="auto"/>
              <w:right w:val="single" w:sz="8" w:color="auto"/>
            </w:tcBorders>
          </w:tcPr>
          <w:p>
            <w:pPr>
              <w:spacing w:after="0" w:line="20" w:lineRule="exact"/>
              <w:rPr>
                <w:sz w:val="1"/>
                <w:szCs w:val="1"/>
                <w:color w:val="auto"/>
              </w:rPr>
            </w:pPr>
          </w:p>
        </w:tc>
        <w:tc>
          <w:tcPr>
            <w:tcW w:w="2200" w:type="dxa"/>
            <w:vAlign w:val="bottom"/>
            <w:tcBorders>
              <w:bottom w:val="single" w:sz="8" w:color="auto"/>
              <w:right w:val="single" w:sz="8" w:color="auto"/>
            </w:tcBorders>
          </w:tcPr>
          <w:p>
            <w:pPr>
              <w:spacing w:after="0" w:line="20" w:lineRule="exact"/>
              <w:rPr>
                <w:sz w:val="1"/>
                <w:szCs w:val="1"/>
                <w:color w:val="auto"/>
              </w:rPr>
            </w:pPr>
          </w:p>
        </w:tc>
        <w:tc>
          <w:tcPr>
            <w:tcW w:w="23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260350</wp:posOffset>
            </wp:positionV>
            <wp:extent cx="2374265" cy="8058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2374265" cy="805815"/>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2048510</wp:posOffset>
            </wp:positionV>
            <wp:extent cx="576072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60720" cy="2540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2219960</wp:posOffset>
            </wp:positionV>
            <wp:extent cx="462915" cy="4286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29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640" w:type="dxa"/>
            <w:vAlign w:val="bottom"/>
          </w:tcPr>
          <w:p>
            <w:pPr>
              <w:ind w:left="980"/>
              <w:spacing w:after="0"/>
              <w:rPr>
                <w:sz w:val="20"/>
                <w:szCs w:val="20"/>
                <w:color w:val="auto"/>
              </w:rPr>
            </w:pPr>
            <w:r>
              <w:rPr>
                <w:rFonts w:ascii="Arial" w:cs="Arial" w:eastAsia="Arial" w:hAnsi="Arial"/>
                <w:sz w:val="20"/>
                <w:szCs w:val="20"/>
                <w:color w:val="373A36"/>
              </w:rPr>
              <w:t>1029 West 19th Street, Chattanooga, Tennessee, USA, 37408 | novonixgroup.com</w:t>
            </w:r>
          </w:p>
        </w:tc>
        <w:tc>
          <w:tcPr>
            <w:tcW w:w="2400" w:type="dxa"/>
            <w:vAlign w:val="bottom"/>
          </w:tcPr>
          <w:p>
            <w:pPr>
              <w:jc w:val="right"/>
              <w:ind w:right="1681"/>
              <w:spacing w:after="0"/>
              <w:rPr>
                <w:sz w:val="20"/>
                <w:szCs w:val="20"/>
                <w:color w:val="auto"/>
              </w:rPr>
            </w:pPr>
            <w:r>
              <w:rPr>
                <w:rFonts w:ascii="Arial" w:cs="Arial" w:eastAsia="Arial" w:hAnsi="Arial"/>
                <w:sz w:val="20"/>
                <w:szCs w:val="20"/>
                <w:color w:val="auto"/>
              </w:rPr>
              <w:t>11</w:t>
            </w:r>
          </w:p>
        </w:tc>
      </w:tr>
      <w:tr>
        <w:trPr>
          <w:trHeight w:val="1172"/>
        </w:trPr>
        <w:tc>
          <w:tcPr>
            <w:tcW w:w="86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12" w:right="439" w:bottom="1440" w:gutter="0" w:footer="0" w:header="0"/>
        </w:sectPr>
      </w:pPr>
    </w:p>
    <w:bookmarkStart w:id="14" w:name="page15"/>
    <w:bookmarkEnd w:id="14"/>
    <w:p>
      <w:pPr>
        <w:spacing w:after="0" w:line="1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260350</wp:posOffset>
            </wp:positionV>
            <wp:extent cx="2374265" cy="71755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74265" cy="7175500"/>
                    </a:xfrm>
                    <a:prstGeom prst="rect">
                      <a:avLst/>
                    </a:prstGeom>
                    <a:noFill/>
                  </pic:spPr>
                </pic:pic>
              </a:graphicData>
            </a:graphic>
          </wp:anchor>
        </w:drawing>
        <w:drawing>
          <wp:anchor simplePos="0" relativeHeight="251657728" behindDoc="1" locked="0" layoutInCell="0" allowOverlap="1">
            <wp:simplePos x="0" y="0"/>
            <wp:positionH relativeFrom="page">
              <wp:posOffset>6645910</wp:posOffset>
            </wp:positionH>
            <wp:positionV relativeFrom="page">
              <wp:posOffset>1049020</wp:posOffset>
            </wp:positionV>
            <wp:extent cx="8255" cy="63861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6386195"/>
                    </a:xfrm>
                    <a:prstGeom prst="rect">
                      <a:avLst/>
                    </a:prstGeom>
                    <a:noFill/>
                  </pic:spPr>
                </pic:pic>
              </a:graphicData>
            </a:graphic>
          </wp:anchor>
        </w:drawing>
      </w:r>
    </w:p>
    <w:tbl>
      <w:tblPr>
        <w:tblLayout w:type="fixed"/>
        <w:tblInd w:w="980" w:type="dxa"/>
        <w:tblCellMar>
          <w:top w:w="0" w:type="dxa"/>
          <w:left w:w="0" w:type="dxa"/>
          <w:bottom w:w="0" w:type="dxa"/>
          <w:right w:w="0" w:type="dxa"/>
        </w:tblCellMar>
      </w:tblPr>
      <w:tr>
        <w:trPr>
          <w:trHeight w:val="260"/>
        </w:trPr>
        <w:tc>
          <w:tcPr>
            <w:tcW w:w="640" w:type="dxa"/>
            <w:vAlign w:val="bottom"/>
            <w:tcBorders>
              <w:top w:val="single" w:sz="8" w:color="auto"/>
            </w:tcBorders>
          </w:tcPr>
          <w:p>
            <w:pPr>
              <w:ind w:left="120"/>
              <w:spacing w:after="0"/>
              <w:rPr>
                <w:sz w:val="20"/>
                <w:szCs w:val="20"/>
                <w:color w:val="auto"/>
              </w:rPr>
            </w:pPr>
            <w:r>
              <w:rPr>
                <w:rFonts w:ascii="Arial" w:cs="Arial" w:eastAsia="Arial" w:hAnsi="Arial"/>
                <w:sz w:val="20"/>
                <w:szCs w:val="20"/>
                <w:b w:val="1"/>
                <w:bCs w:val="1"/>
                <w:color w:val="auto"/>
              </w:rPr>
              <w:t>5.</w:t>
            </w:r>
          </w:p>
        </w:tc>
        <w:tc>
          <w:tcPr>
            <w:tcW w:w="38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20"/>
                <w:szCs w:val="20"/>
                <w:b w:val="1"/>
                <w:bCs w:val="1"/>
                <w:color w:val="auto"/>
              </w:rPr>
              <w:t>Reconciliation of cash and cash</w:t>
            </w:r>
          </w:p>
        </w:tc>
        <w:tc>
          <w:tcPr>
            <w:tcW w:w="1980" w:type="dxa"/>
            <w:vAlign w:val="bottom"/>
            <w:tcBorders>
              <w:top w:val="single" w:sz="8" w:color="auto"/>
              <w:right w:val="single" w:sz="8" w:color="auto"/>
            </w:tcBorders>
          </w:tcPr>
          <w:p>
            <w:pPr>
              <w:jc w:val="right"/>
              <w:ind w:right="181"/>
              <w:spacing w:after="0"/>
              <w:rPr>
                <w:sz w:val="20"/>
                <w:szCs w:val="20"/>
                <w:color w:val="auto"/>
              </w:rPr>
            </w:pPr>
            <w:r>
              <w:rPr>
                <w:rFonts w:ascii="Arial" w:cs="Arial" w:eastAsia="Arial" w:hAnsi="Arial"/>
                <w:sz w:val="20"/>
                <w:szCs w:val="20"/>
                <w:b w:val="1"/>
                <w:bCs w:val="1"/>
                <w:color w:val="auto"/>
              </w:rPr>
              <w:t>Current quarter</w:t>
            </w:r>
          </w:p>
        </w:tc>
        <w:tc>
          <w:tcPr>
            <w:tcW w:w="420" w:type="dxa"/>
            <w:vAlign w:val="bottom"/>
            <w:tcBorders>
              <w:top w:val="single" w:sz="8" w:color="auto"/>
            </w:tcBorders>
          </w:tcPr>
          <w:p>
            <w:pPr>
              <w:spacing w:after="0"/>
              <w:rPr>
                <w:sz w:val="22"/>
                <w:szCs w:val="22"/>
                <w:color w:val="auto"/>
              </w:rPr>
            </w:pPr>
          </w:p>
        </w:tc>
        <w:tc>
          <w:tcPr>
            <w:tcW w:w="2240" w:type="dxa"/>
            <w:vAlign w:val="bottom"/>
            <w:tcBorders>
              <w:top w:val="single" w:sz="8" w:color="auto"/>
            </w:tcBorders>
          </w:tcPr>
          <w:p>
            <w:pPr>
              <w:jc w:val="right"/>
              <w:ind w:right="461"/>
              <w:spacing w:after="0"/>
              <w:rPr>
                <w:sz w:val="20"/>
                <w:szCs w:val="20"/>
                <w:color w:val="auto"/>
              </w:rPr>
            </w:pPr>
            <w:r>
              <w:rPr>
                <w:rFonts w:ascii="Arial" w:cs="Arial" w:eastAsia="Arial" w:hAnsi="Arial"/>
                <w:sz w:val="20"/>
                <w:szCs w:val="20"/>
                <w:b w:val="1"/>
                <w:bCs w:val="1"/>
                <w:color w:val="auto"/>
              </w:rPr>
              <w:t>Previous quarter</w:t>
            </w:r>
          </w:p>
        </w:tc>
        <w:tc>
          <w:tcPr>
            <w:tcW w:w="0" w:type="dxa"/>
            <w:vAlign w:val="bottom"/>
          </w:tcPr>
          <w:p>
            <w:pPr>
              <w:spacing w:after="0"/>
              <w:rPr>
                <w:sz w:val="1"/>
                <w:szCs w:val="1"/>
                <w:color w:val="auto"/>
              </w:rPr>
            </w:pPr>
          </w:p>
        </w:tc>
      </w:tr>
      <w:tr>
        <w:trPr>
          <w:trHeight w:val="218"/>
        </w:trPr>
        <w:tc>
          <w:tcPr>
            <w:tcW w:w="640" w:type="dxa"/>
            <w:vAlign w:val="bottom"/>
          </w:tcPr>
          <w:p>
            <w:pPr>
              <w:spacing w:after="0"/>
              <w:rPr>
                <w:sz w:val="18"/>
                <w:szCs w:val="18"/>
                <w:color w:val="auto"/>
              </w:rPr>
            </w:pPr>
          </w:p>
        </w:tc>
        <w:tc>
          <w:tcPr>
            <w:tcW w:w="3800" w:type="dxa"/>
            <w:vAlign w:val="bottom"/>
            <w:tcBorders>
              <w:right w:val="single" w:sz="8" w:color="auto"/>
            </w:tcBorders>
          </w:tcPr>
          <w:p>
            <w:pPr>
              <w:ind w:left="100"/>
              <w:spacing w:after="0" w:line="218" w:lineRule="exact"/>
              <w:rPr>
                <w:sz w:val="20"/>
                <w:szCs w:val="20"/>
                <w:color w:val="auto"/>
              </w:rPr>
            </w:pPr>
            <w:r>
              <w:rPr>
                <w:rFonts w:ascii="Arial" w:cs="Arial" w:eastAsia="Arial" w:hAnsi="Arial"/>
                <w:sz w:val="20"/>
                <w:szCs w:val="20"/>
                <w:b w:val="1"/>
                <w:bCs w:val="1"/>
                <w:color w:val="auto"/>
              </w:rPr>
              <w:t>equivalents</w:t>
            </w:r>
          </w:p>
        </w:tc>
        <w:tc>
          <w:tcPr>
            <w:tcW w:w="1980" w:type="dxa"/>
            <w:vAlign w:val="bottom"/>
            <w:tcBorders>
              <w:right w:val="single" w:sz="8" w:color="auto"/>
            </w:tcBorders>
          </w:tcPr>
          <w:p>
            <w:pPr>
              <w:jc w:val="right"/>
              <w:ind w:right="441"/>
              <w:spacing w:after="0" w:line="218" w:lineRule="exact"/>
              <w:rPr>
                <w:sz w:val="20"/>
                <w:szCs w:val="20"/>
                <w:color w:val="auto"/>
              </w:rPr>
            </w:pPr>
            <w:r>
              <w:rPr>
                <w:rFonts w:ascii="Arial" w:cs="Arial" w:eastAsia="Arial" w:hAnsi="Arial"/>
                <w:sz w:val="20"/>
                <w:szCs w:val="20"/>
                <w:b w:val="1"/>
                <w:bCs w:val="1"/>
                <w:color w:val="auto"/>
              </w:rPr>
              <w:t>$USD’000</w:t>
            </w:r>
          </w:p>
        </w:tc>
        <w:tc>
          <w:tcPr>
            <w:tcW w:w="420" w:type="dxa"/>
            <w:vAlign w:val="bottom"/>
          </w:tcPr>
          <w:p>
            <w:pPr>
              <w:spacing w:after="0"/>
              <w:rPr>
                <w:sz w:val="18"/>
                <w:szCs w:val="18"/>
                <w:color w:val="auto"/>
              </w:rPr>
            </w:pPr>
          </w:p>
        </w:tc>
        <w:tc>
          <w:tcPr>
            <w:tcW w:w="2240" w:type="dxa"/>
            <w:vAlign w:val="bottom"/>
          </w:tcPr>
          <w:p>
            <w:pPr>
              <w:jc w:val="right"/>
              <w:ind w:right="781"/>
              <w:spacing w:after="0" w:line="218" w:lineRule="exact"/>
              <w:rPr>
                <w:sz w:val="20"/>
                <w:szCs w:val="20"/>
                <w:color w:val="auto"/>
              </w:rPr>
            </w:pPr>
            <w:r>
              <w:rPr>
                <w:rFonts w:ascii="Arial" w:cs="Arial" w:eastAsia="Arial" w:hAnsi="Arial"/>
                <w:sz w:val="20"/>
                <w:szCs w:val="20"/>
                <w:b w:val="1"/>
                <w:bCs w:val="1"/>
                <w:color w:val="auto"/>
              </w:rPr>
              <w:t>$USD’000</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8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at the end of the quarter (as shown in</w:t>
            </w:r>
          </w:p>
        </w:tc>
        <w:tc>
          <w:tcPr>
            <w:tcW w:w="19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8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the consolidated statement of cash</w:t>
            </w:r>
          </w:p>
        </w:tc>
        <w:tc>
          <w:tcPr>
            <w:tcW w:w="19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3800" w:type="dxa"/>
            <w:vAlign w:val="bottom"/>
            <w:tcBorders>
              <w:right w:val="single" w:sz="8" w:color="auto"/>
            </w:tcBorders>
          </w:tcPr>
          <w:p>
            <w:pPr>
              <w:ind w:left="100"/>
              <w:spacing w:after="0" w:line="216" w:lineRule="exact"/>
              <w:rPr>
                <w:sz w:val="20"/>
                <w:szCs w:val="20"/>
                <w:color w:val="auto"/>
              </w:rPr>
            </w:pPr>
            <w:r>
              <w:rPr>
                <w:rFonts w:ascii="Arial" w:cs="Arial" w:eastAsia="Arial" w:hAnsi="Arial"/>
                <w:sz w:val="20"/>
                <w:szCs w:val="20"/>
                <w:color w:val="auto"/>
              </w:rPr>
              <w:t>flows) to the related items in the</w:t>
            </w:r>
          </w:p>
        </w:tc>
        <w:tc>
          <w:tcPr>
            <w:tcW w:w="19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40" w:type="dxa"/>
            <w:vAlign w:val="bottom"/>
          </w:tcPr>
          <w:p>
            <w:pPr>
              <w:spacing w:after="0"/>
              <w:rPr>
                <w:sz w:val="22"/>
                <w:szCs w:val="22"/>
                <w:color w:val="auto"/>
              </w:rPr>
            </w:pP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accounts</w:t>
            </w:r>
          </w:p>
        </w:tc>
        <w:tc>
          <w:tcPr>
            <w:tcW w:w="1980" w:type="dxa"/>
            <w:vAlign w:val="bottom"/>
            <w:tcBorders>
              <w:right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640" w:type="dxa"/>
            <w:vAlign w:val="bottom"/>
            <w:tcBorders>
              <w:bottom w:val="single" w:sz="8" w:color="auto"/>
            </w:tcBorders>
          </w:tcPr>
          <w:p>
            <w:pPr>
              <w:spacing w:after="0"/>
              <w:rPr>
                <w:sz w:val="2"/>
                <w:szCs w:val="2"/>
                <w:color w:val="auto"/>
              </w:rPr>
            </w:pPr>
          </w:p>
        </w:tc>
        <w:tc>
          <w:tcPr>
            <w:tcW w:w="38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640" w:type="dxa"/>
            <w:vAlign w:val="bottom"/>
          </w:tcPr>
          <w:p>
            <w:pPr>
              <w:ind w:left="120"/>
              <w:spacing w:after="0"/>
              <w:rPr>
                <w:sz w:val="20"/>
                <w:szCs w:val="20"/>
                <w:color w:val="auto"/>
              </w:rPr>
            </w:pPr>
            <w:r>
              <w:rPr>
                <w:rFonts w:ascii="Arial" w:cs="Arial" w:eastAsia="Arial" w:hAnsi="Arial"/>
                <w:sz w:val="20"/>
                <w:szCs w:val="20"/>
                <w:color w:val="auto"/>
              </w:rPr>
              <w:t>5.1</w:t>
            </w: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Bank balances</w:t>
            </w:r>
          </w:p>
        </w:tc>
        <w:tc>
          <w:tcPr>
            <w:tcW w:w="198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33,652</w:t>
            </w:r>
          </w:p>
        </w:tc>
        <w:tc>
          <w:tcPr>
            <w:tcW w:w="420" w:type="dxa"/>
            <w:vAlign w:val="bottom"/>
          </w:tcPr>
          <w:p>
            <w:pPr>
              <w:spacing w:after="0"/>
              <w:rPr>
                <w:sz w:val="24"/>
                <w:szCs w:val="24"/>
                <w:color w:val="auto"/>
              </w:rPr>
            </w:pPr>
          </w:p>
        </w:tc>
        <w:tc>
          <w:tcPr>
            <w:tcW w:w="2240" w:type="dxa"/>
            <w:vAlign w:val="bottom"/>
          </w:tcPr>
          <w:p>
            <w:pPr>
              <w:jc w:val="right"/>
              <w:ind w:right="1"/>
              <w:spacing w:after="0"/>
              <w:rPr>
                <w:sz w:val="20"/>
                <w:szCs w:val="20"/>
                <w:color w:val="auto"/>
              </w:rPr>
            </w:pPr>
            <w:r>
              <w:rPr>
                <w:rFonts w:ascii="Arial" w:cs="Arial" w:eastAsia="Arial" w:hAnsi="Arial"/>
                <w:sz w:val="20"/>
                <w:szCs w:val="20"/>
                <w:color w:val="auto"/>
              </w:rPr>
              <w:t>59,535</w:t>
            </w:r>
          </w:p>
        </w:tc>
        <w:tc>
          <w:tcPr>
            <w:tcW w:w="0" w:type="dxa"/>
            <w:vAlign w:val="bottom"/>
          </w:tcPr>
          <w:p>
            <w:pPr>
              <w:spacing w:after="0"/>
              <w:rPr>
                <w:sz w:val="1"/>
                <w:szCs w:val="1"/>
                <w:color w:val="auto"/>
              </w:rPr>
            </w:pPr>
          </w:p>
        </w:tc>
      </w:tr>
      <w:tr>
        <w:trPr>
          <w:trHeight w:val="324"/>
        </w:trPr>
        <w:tc>
          <w:tcPr>
            <w:tcW w:w="640" w:type="dxa"/>
            <w:vAlign w:val="bottom"/>
          </w:tcPr>
          <w:p>
            <w:pPr>
              <w:ind w:left="120"/>
              <w:spacing w:after="0"/>
              <w:rPr>
                <w:sz w:val="20"/>
                <w:szCs w:val="20"/>
                <w:color w:val="auto"/>
              </w:rPr>
            </w:pPr>
            <w:r>
              <w:rPr>
                <w:rFonts w:ascii="Arial" w:cs="Arial" w:eastAsia="Arial" w:hAnsi="Arial"/>
                <w:sz w:val="20"/>
                <w:szCs w:val="20"/>
                <w:color w:val="auto"/>
              </w:rPr>
              <w:t>5.2</w:t>
            </w: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Call deposits</w:t>
            </w:r>
          </w:p>
        </w:tc>
        <w:tc>
          <w:tcPr>
            <w:tcW w:w="198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4"/>
                <w:szCs w:val="24"/>
                <w:color w:val="auto"/>
              </w:rPr>
            </w:pPr>
          </w:p>
        </w:tc>
        <w:tc>
          <w:tcPr>
            <w:tcW w:w="2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640" w:type="dxa"/>
            <w:vAlign w:val="bottom"/>
          </w:tcPr>
          <w:p>
            <w:pPr>
              <w:ind w:left="120"/>
              <w:spacing w:after="0"/>
              <w:rPr>
                <w:sz w:val="20"/>
                <w:szCs w:val="20"/>
                <w:color w:val="auto"/>
              </w:rPr>
            </w:pPr>
            <w:r>
              <w:rPr>
                <w:rFonts w:ascii="Arial" w:cs="Arial" w:eastAsia="Arial" w:hAnsi="Arial"/>
                <w:sz w:val="20"/>
                <w:szCs w:val="20"/>
                <w:color w:val="auto"/>
              </w:rPr>
              <w:t>5.3</w:t>
            </w: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Bank overdrafts</w:t>
            </w:r>
          </w:p>
        </w:tc>
        <w:tc>
          <w:tcPr>
            <w:tcW w:w="198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4"/>
                <w:szCs w:val="24"/>
                <w:color w:val="auto"/>
              </w:rPr>
            </w:pPr>
          </w:p>
        </w:tc>
        <w:tc>
          <w:tcPr>
            <w:tcW w:w="2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24"/>
        </w:trPr>
        <w:tc>
          <w:tcPr>
            <w:tcW w:w="640" w:type="dxa"/>
            <w:vAlign w:val="bottom"/>
          </w:tcPr>
          <w:p>
            <w:pPr>
              <w:ind w:left="120"/>
              <w:spacing w:after="0"/>
              <w:rPr>
                <w:sz w:val="20"/>
                <w:szCs w:val="20"/>
                <w:color w:val="auto"/>
              </w:rPr>
            </w:pPr>
            <w:r>
              <w:rPr>
                <w:rFonts w:ascii="Arial" w:cs="Arial" w:eastAsia="Arial" w:hAnsi="Arial"/>
                <w:sz w:val="20"/>
                <w:szCs w:val="20"/>
                <w:color w:val="auto"/>
              </w:rPr>
              <w:t>5.4</w:t>
            </w: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20"/>
                <w:szCs w:val="20"/>
                <w:color w:val="auto"/>
              </w:rPr>
              <w:t>Other (provide details)</w:t>
            </w:r>
          </w:p>
        </w:tc>
        <w:tc>
          <w:tcPr>
            <w:tcW w:w="198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420" w:type="dxa"/>
            <w:vAlign w:val="bottom"/>
          </w:tcPr>
          <w:p>
            <w:pPr>
              <w:spacing w:after="0"/>
              <w:rPr>
                <w:sz w:val="24"/>
                <w:szCs w:val="24"/>
                <w:color w:val="auto"/>
              </w:rPr>
            </w:pPr>
          </w:p>
        </w:tc>
        <w:tc>
          <w:tcPr>
            <w:tcW w:w="2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
        </w:trPr>
        <w:tc>
          <w:tcPr>
            <w:tcW w:w="640" w:type="dxa"/>
            <w:vAlign w:val="bottom"/>
            <w:vMerge w:val="restart"/>
          </w:tcPr>
          <w:p>
            <w:pPr>
              <w:ind w:left="120"/>
              <w:spacing w:after="0"/>
              <w:rPr>
                <w:sz w:val="20"/>
                <w:szCs w:val="20"/>
                <w:color w:val="auto"/>
              </w:rPr>
            </w:pPr>
            <w:r>
              <w:rPr>
                <w:rFonts w:ascii="Arial" w:cs="Arial" w:eastAsia="Arial" w:hAnsi="Arial"/>
                <w:sz w:val="20"/>
                <w:szCs w:val="20"/>
                <w:b w:val="1"/>
                <w:bCs w:val="1"/>
                <w:color w:val="auto"/>
              </w:rPr>
              <w:t>5.5</w:t>
            </w:r>
          </w:p>
        </w:tc>
        <w:tc>
          <w:tcPr>
            <w:tcW w:w="3800" w:type="dxa"/>
            <w:vAlign w:val="bottom"/>
            <w:tcBorders>
              <w:right w:val="single" w:sz="8" w:color="auto"/>
            </w:tcBorders>
            <w:vMerge w:val="restart"/>
          </w:tcPr>
          <w:p>
            <w:pPr>
              <w:ind w:left="100"/>
              <w:spacing w:after="0"/>
              <w:rPr>
                <w:sz w:val="20"/>
                <w:szCs w:val="20"/>
                <w:color w:val="auto"/>
              </w:rPr>
            </w:pPr>
            <w:r>
              <w:rPr>
                <w:rFonts w:ascii="Arial" w:cs="Arial" w:eastAsia="Arial" w:hAnsi="Arial"/>
                <w:sz w:val="20"/>
                <w:szCs w:val="20"/>
                <w:b w:val="1"/>
                <w:bCs w:val="1"/>
                <w:color w:val="auto"/>
              </w:rPr>
              <w:t>Cash and cash equivalents at end of</w:t>
            </w:r>
          </w:p>
        </w:tc>
        <w:tc>
          <w:tcPr>
            <w:tcW w:w="198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640" w:type="dxa"/>
            <w:vAlign w:val="bottom"/>
            <w:vMerge w:val="continue"/>
          </w:tcPr>
          <w:p>
            <w:pPr>
              <w:spacing w:after="0"/>
              <w:rPr>
                <w:sz w:val="20"/>
                <w:szCs w:val="20"/>
                <w:color w:val="auto"/>
              </w:rPr>
            </w:pPr>
          </w:p>
        </w:tc>
        <w:tc>
          <w:tcPr>
            <w:tcW w:w="3800" w:type="dxa"/>
            <w:vAlign w:val="bottom"/>
            <w:tcBorders>
              <w:right w:val="single" w:sz="8" w:color="auto"/>
            </w:tcBorders>
            <w:vMerge w:val="continue"/>
          </w:tcPr>
          <w:p>
            <w:pPr>
              <w:spacing w:after="0"/>
              <w:rPr>
                <w:sz w:val="20"/>
                <w:szCs w:val="20"/>
                <w:color w:val="auto"/>
              </w:rPr>
            </w:pPr>
          </w:p>
        </w:tc>
        <w:tc>
          <w:tcPr>
            <w:tcW w:w="198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33,652</w:t>
            </w:r>
          </w:p>
        </w:tc>
        <w:tc>
          <w:tcPr>
            <w:tcW w:w="420" w:type="dxa"/>
            <w:vAlign w:val="bottom"/>
          </w:tcPr>
          <w:p>
            <w:pPr>
              <w:spacing w:after="0"/>
              <w:rPr>
                <w:sz w:val="20"/>
                <w:szCs w:val="20"/>
                <w:color w:val="auto"/>
              </w:rPr>
            </w:pPr>
          </w:p>
        </w:tc>
        <w:tc>
          <w:tcPr>
            <w:tcW w:w="2240" w:type="dxa"/>
            <w:vAlign w:val="bottom"/>
          </w:tcPr>
          <w:p>
            <w:pPr>
              <w:jc w:val="right"/>
              <w:ind w:right="1"/>
              <w:spacing w:after="0"/>
              <w:rPr>
                <w:sz w:val="20"/>
                <w:szCs w:val="20"/>
                <w:color w:val="auto"/>
              </w:rPr>
            </w:pPr>
            <w:r>
              <w:rPr>
                <w:rFonts w:ascii="Arial" w:cs="Arial" w:eastAsia="Arial" w:hAnsi="Arial"/>
                <w:sz w:val="20"/>
                <w:szCs w:val="20"/>
                <w:color w:val="auto"/>
              </w:rPr>
              <w:t>59,535</w:t>
            </w:r>
          </w:p>
        </w:tc>
        <w:tc>
          <w:tcPr>
            <w:tcW w:w="0" w:type="dxa"/>
            <w:vAlign w:val="bottom"/>
          </w:tcPr>
          <w:p>
            <w:pPr>
              <w:spacing w:after="0"/>
              <w:rPr>
                <w:sz w:val="1"/>
                <w:szCs w:val="1"/>
                <w:color w:val="auto"/>
              </w:rPr>
            </w:pPr>
          </w:p>
        </w:tc>
      </w:tr>
      <w:tr>
        <w:trPr>
          <w:trHeight w:val="273"/>
        </w:trPr>
        <w:tc>
          <w:tcPr>
            <w:tcW w:w="640" w:type="dxa"/>
            <w:vAlign w:val="bottom"/>
          </w:tcPr>
          <w:p>
            <w:pPr>
              <w:spacing w:after="0"/>
              <w:rPr>
                <w:sz w:val="23"/>
                <w:szCs w:val="23"/>
                <w:color w:val="auto"/>
              </w:rPr>
            </w:pPr>
          </w:p>
        </w:tc>
        <w:tc>
          <w:tcPr>
            <w:tcW w:w="3800" w:type="dxa"/>
            <w:vAlign w:val="bottom"/>
            <w:tcBorders>
              <w:right w:val="single" w:sz="8" w:color="auto"/>
            </w:tcBorders>
          </w:tcPr>
          <w:p>
            <w:pPr>
              <w:ind w:left="100"/>
              <w:spacing w:after="0"/>
              <w:rPr>
                <w:sz w:val="20"/>
                <w:szCs w:val="20"/>
                <w:color w:val="auto"/>
              </w:rPr>
            </w:pPr>
            <w:r>
              <w:rPr>
                <w:rFonts w:ascii="Arial" w:cs="Arial" w:eastAsia="Arial" w:hAnsi="Arial"/>
                <w:sz w:val="20"/>
                <w:szCs w:val="20"/>
                <w:b w:val="1"/>
                <w:bCs w:val="1"/>
                <w:color w:val="auto"/>
              </w:rPr>
              <w:t>quarter (should equal item 4.6 above)</w:t>
            </w:r>
          </w:p>
        </w:tc>
        <w:tc>
          <w:tcPr>
            <w:tcW w:w="1980" w:type="dxa"/>
            <w:vAlign w:val="bottom"/>
            <w:tcBorders>
              <w:right w:val="single" w:sz="8" w:color="auto"/>
            </w:tcBorders>
          </w:tcPr>
          <w:p>
            <w:pPr>
              <w:spacing w:after="0"/>
              <w:rPr>
                <w:sz w:val="23"/>
                <w:szCs w:val="23"/>
                <w:color w:val="auto"/>
              </w:rPr>
            </w:pPr>
          </w:p>
        </w:tc>
        <w:tc>
          <w:tcPr>
            <w:tcW w:w="42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right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640" w:type="dxa"/>
            <w:vAlign w:val="bottom"/>
            <w:tcBorders>
              <w:right w:val="single" w:sz="8" w:color="auto"/>
            </w:tcBorders>
          </w:tcPr>
          <w:p>
            <w:pPr>
              <w:ind w:left="120"/>
              <w:spacing w:after="0"/>
              <w:rPr>
                <w:sz w:val="20"/>
                <w:szCs w:val="20"/>
                <w:color w:val="auto"/>
              </w:rPr>
            </w:pPr>
            <w:r>
              <w:rPr>
                <w:rFonts w:ascii="Arial" w:cs="Arial" w:eastAsia="Arial" w:hAnsi="Arial"/>
                <w:sz w:val="20"/>
                <w:szCs w:val="20"/>
                <w:b w:val="1"/>
                <w:bCs w:val="1"/>
                <w:color w:val="auto"/>
              </w:rPr>
              <w:t>6.</w:t>
            </w:r>
          </w:p>
        </w:tc>
        <w:tc>
          <w:tcPr>
            <w:tcW w:w="620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b w:val="1"/>
                <w:bCs w:val="1"/>
                <w:color w:val="auto"/>
              </w:rPr>
              <w:t>Payments to related parties of the entity and their associates</w:t>
            </w:r>
          </w:p>
        </w:tc>
        <w:tc>
          <w:tcPr>
            <w:tcW w:w="2240" w:type="dxa"/>
            <w:vAlign w:val="bottom"/>
          </w:tcPr>
          <w:p>
            <w:pPr>
              <w:jc w:val="right"/>
              <w:ind w:right="301"/>
              <w:spacing w:after="0"/>
              <w:rPr>
                <w:sz w:val="20"/>
                <w:szCs w:val="20"/>
                <w:color w:val="auto"/>
              </w:rPr>
            </w:pPr>
            <w:r>
              <w:rPr>
                <w:rFonts w:ascii="Arial" w:cs="Arial" w:eastAsia="Arial" w:hAnsi="Arial"/>
                <w:sz w:val="20"/>
                <w:szCs w:val="20"/>
                <w:b w:val="1"/>
                <w:bCs w:val="1"/>
                <w:color w:val="auto"/>
              </w:rPr>
              <w:t>Current quarter</w:t>
            </w:r>
          </w:p>
        </w:tc>
        <w:tc>
          <w:tcPr>
            <w:tcW w:w="0" w:type="dxa"/>
            <w:vAlign w:val="bottom"/>
          </w:tcPr>
          <w:p>
            <w:pPr>
              <w:spacing w:after="0"/>
              <w:rPr>
                <w:sz w:val="1"/>
                <w:szCs w:val="1"/>
                <w:color w:val="auto"/>
              </w:rPr>
            </w:pPr>
          </w:p>
        </w:tc>
      </w:tr>
      <w:tr>
        <w:trPr>
          <w:trHeight w:val="273"/>
        </w:trPr>
        <w:tc>
          <w:tcPr>
            <w:tcW w:w="640" w:type="dxa"/>
            <w:vAlign w:val="bottom"/>
            <w:tcBorders>
              <w:right w:val="single" w:sz="8" w:color="auto"/>
            </w:tcBorders>
          </w:tcPr>
          <w:p>
            <w:pPr>
              <w:spacing w:after="0"/>
              <w:rPr>
                <w:sz w:val="23"/>
                <w:szCs w:val="23"/>
                <w:color w:val="auto"/>
              </w:rPr>
            </w:pPr>
          </w:p>
        </w:tc>
        <w:tc>
          <w:tcPr>
            <w:tcW w:w="38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2240" w:type="dxa"/>
            <w:vAlign w:val="bottom"/>
          </w:tcPr>
          <w:p>
            <w:pPr>
              <w:jc w:val="right"/>
              <w:ind w:right="581"/>
              <w:spacing w:after="0"/>
              <w:rPr>
                <w:sz w:val="20"/>
                <w:szCs w:val="20"/>
                <w:color w:val="auto"/>
              </w:rPr>
            </w:pPr>
            <w:r>
              <w:rPr>
                <w:rFonts w:ascii="Arial" w:cs="Arial" w:eastAsia="Arial" w:hAnsi="Arial"/>
                <w:sz w:val="20"/>
                <w:szCs w:val="20"/>
                <w:b w:val="1"/>
                <w:bCs w:val="1"/>
                <w:color w:val="auto"/>
              </w:rPr>
              <w:t>$USD'000</w:t>
            </w:r>
          </w:p>
        </w:tc>
        <w:tc>
          <w:tcPr>
            <w:tcW w:w="0" w:type="dxa"/>
            <w:vAlign w:val="bottom"/>
          </w:tcPr>
          <w:p>
            <w:pPr>
              <w:spacing w:after="0"/>
              <w:rPr>
                <w:sz w:val="1"/>
                <w:szCs w:val="1"/>
                <w:color w:val="auto"/>
              </w:rPr>
            </w:pPr>
          </w:p>
        </w:tc>
      </w:tr>
      <w:tr>
        <w:trPr>
          <w:trHeight w:val="20"/>
        </w:trPr>
        <w:tc>
          <w:tcPr>
            <w:tcW w:w="640" w:type="dxa"/>
            <w:vAlign w:val="bottom"/>
            <w:tcBorders>
              <w:right w:val="single" w:sz="8" w:color="auto"/>
            </w:tcBorders>
          </w:tcPr>
          <w:p>
            <w:pPr>
              <w:spacing w:after="0" w:line="20" w:lineRule="exact"/>
              <w:rPr>
                <w:sz w:val="1"/>
                <w:szCs w:val="1"/>
                <w:color w:val="auto"/>
              </w:rPr>
            </w:pPr>
          </w:p>
        </w:tc>
        <w:tc>
          <w:tcPr>
            <w:tcW w:w="6200" w:type="dxa"/>
            <w:vAlign w:val="bottom"/>
            <w:tcBorders>
              <w:right w:val="single" w:sz="8" w:color="auto"/>
            </w:tcBorders>
            <w:gridSpan w:val="3"/>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6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6.1</w:t>
            </w:r>
          </w:p>
        </w:tc>
        <w:tc>
          <w:tcPr>
            <w:tcW w:w="620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Aggregate amount of payments to related parties and their</w:t>
            </w:r>
          </w:p>
        </w:tc>
        <w:tc>
          <w:tcPr>
            <w:tcW w:w="2240" w:type="dxa"/>
            <w:vAlign w:val="bottom"/>
          </w:tcPr>
          <w:p>
            <w:pPr>
              <w:jc w:val="right"/>
              <w:ind w:right="21"/>
              <w:spacing w:after="0"/>
              <w:rPr>
                <w:sz w:val="20"/>
                <w:szCs w:val="20"/>
                <w:color w:val="auto"/>
              </w:rPr>
            </w:pPr>
            <w:r>
              <w:rPr>
                <w:rFonts w:ascii="Arial" w:cs="Arial" w:eastAsia="Arial" w:hAnsi="Arial"/>
                <w:sz w:val="20"/>
                <w:szCs w:val="20"/>
                <w:color w:val="auto"/>
              </w:rPr>
              <w:t>339</w:t>
            </w:r>
          </w:p>
        </w:tc>
        <w:tc>
          <w:tcPr>
            <w:tcW w:w="0" w:type="dxa"/>
            <w:vAlign w:val="bottom"/>
          </w:tcPr>
          <w:p>
            <w:pPr>
              <w:spacing w:after="0"/>
              <w:rPr>
                <w:sz w:val="1"/>
                <w:szCs w:val="1"/>
                <w:color w:val="auto"/>
              </w:rPr>
            </w:pPr>
          </w:p>
        </w:tc>
      </w:tr>
      <w:tr>
        <w:trPr>
          <w:trHeight w:val="272"/>
        </w:trPr>
        <w:tc>
          <w:tcPr>
            <w:tcW w:w="640" w:type="dxa"/>
            <w:vAlign w:val="bottom"/>
            <w:tcBorders>
              <w:right w:val="single" w:sz="8" w:color="auto"/>
            </w:tcBorders>
          </w:tcPr>
          <w:p>
            <w:pPr>
              <w:spacing w:after="0"/>
              <w:rPr>
                <w:sz w:val="23"/>
                <w:szCs w:val="23"/>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rPr>
              <w:t>associates included in item 1</w:t>
            </w:r>
          </w:p>
        </w:tc>
        <w:tc>
          <w:tcPr>
            <w:tcW w:w="19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2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6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6.2</w:t>
            </w:r>
          </w:p>
        </w:tc>
        <w:tc>
          <w:tcPr>
            <w:tcW w:w="6200" w:type="dxa"/>
            <w:vAlign w:val="bottom"/>
            <w:tcBorders>
              <w:right w:val="single" w:sz="8" w:color="auto"/>
            </w:tcBorders>
            <w:gridSpan w:val="3"/>
          </w:tcPr>
          <w:p>
            <w:pPr>
              <w:ind w:left="100"/>
              <w:spacing w:after="0"/>
              <w:rPr>
                <w:sz w:val="20"/>
                <w:szCs w:val="20"/>
                <w:color w:val="auto"/>
              </w:rPr>
            </w:pPr>
            <w:r>
              <w:rPr>
                <w:rFonts w:ascii="Arial" w:cs="Arial" w:eastAsia="Arial" w:hAnsi="Arial"/>
                <w:sz w:val="20"/>
                <w:szCs w:val="20"/>
                <w:color w:val="auto"/>
              </w:rPr>
              <w:t>Aggregate amount of payments to related parties and their</w:t>
            </w:r>
          </w:p>
        </w:tc>
        <w:tc>
          <w:tcPr>
            <w:tcW w:w="2240" w:type="dxa"/>
            <w:vAlign w:val="bottom"/>
          </w:tcPr>
          <w:p>
            <w:pPr>
              <w:jc w:val="right"/>
              <w:ind w:right="2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61"/>
        </w:trPr>
        <w:tc>
          <w:tcPr>
            <w:tcW w:w="640" w:type="dxa"/>
            <w:vAlign w:val="bottom"/>
            <w:tcBorders>
              <w:right w:val="single" w:sz="8" w:color="auto"/>
            </w:tcBorders>
          </w:tcPr>
          <w:p>
            <w:pPr>
              <w:spacing w:after="0"/>
              <w:rPr>
                <w:sz w:val="22"/>
                <w:szCs w:val="22"/>
                <w:color w:val="auto"/>
              </w:rPr>
            </w:pPr>
          </w:p>
        </w:tc>
        <w:tc>
          <w:tcPr>
            <w:tcW w:w="3800" w:type="dxa"/>
            <w:vAlign w:val="bottom"/>
          </w:tcPr>
          <w:p>
            <w:pPr>
              <w:ind w:left="100"/>
              <w:spacing w:after="0"/>
              <w:rPr>
                <w:sz w:val="20"/>
                <w:szCs w:val="20"/>
                <w:color w:val="auto"/>
              </w:rPr>
            </w:pPr>
            <w:r>
              <w:rPr>
                <w:rFonts w:ascii="Arial" w:cs="Arial" w:eastAsia="Arial" w:hAnsi="Arial"/>
                <w:sz w:val="20"/>
                <w:szCs w:val="20"/>
                <w:color w:val="auto"/>
              </w:rPr>
              <w:t>associates included in item 2</w:t>
            </w:r>
          </w:p>
        </w:tc>
        <w:tc>
          <w:tcPr>
            <w:tcW w:w="1980" w:type="dxa"/>
            <w:vAlign w:val="bottom"/>
          </w:tcPr>
          <w:p>
            <w:pPr>
              <w:spacing w:after="0"/>
              <w:rPr>
                <w:sz w:val="22"/>
                <w:szCs w:val="22"/>
                <w:color w:val="auto"/>
              </w:rPr>
            </w:pPr>
          </w:p>
        </w:tc>
        <w:tc>
          <w:tcPr>
            <w:tcW w:w="420" w:type="dxa"/>
            <w:vAlign w:val="bottom"/>
            <w:tcBorders>
              <w:right w:val="single" w:sz="8" w:color="auto"/>
            </w:tcBorders>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640" w:type="dxa"/>
            <w:vAlign w:val="bottom"/>
            <w:tcBorders>
              <w:bottom w:val="single" w:sz="8" w:color="auto"/>
              <w:right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2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100" w:right="1640"/>
        <w:spacing w:after="0" w:line="257" w:lineRule="auto"/>
        <w:rPr>
          <w:sz w:val="20"/>
          <w:szCs w:val="20"/>
          <w:color w:val="auto"/>
        </w:rPr>
      </w:pPr>
      <w:r>
        <w:rPr>
          <w:rFonts w:ascii="Arial" w:cs="Arial" w:eastAsia="Arial" w:hAnsi="Arial"/>
          <w:sz w:val="20"/>
          <w:szCs w:val="20"/>
          <w:i w:val="1"/>
          <w:iCs w:val="1"/>
          <w:color w:val="auto"/>
        </w:rPr>
        <w:t>Note: if any amounts are shown in items 6.1 or 6.2, your quarterly activity report must include a description of, and an explanation for, such payments.</w:t>
      </w:r>
    </w:p>
    <w:p>
      <w:pPr>
        <w:spacing w:after="0" w:line="317"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Payments to related parties includes director fees, salary and wages, and superannuation.</w:t>
      </w:r>
    </w:p>
    <w:p>
      <w:pPr>
        <w:spacing w:after="0" w:line="366" w:lineRule="exact"/>
        <w:rPr>
          <w:sz w:val="20"/>
          <w:szCs w:val="20"/>
          <w:color w:val="auto"/>
        </w:rPr>
      </w:pPr>
    </w:p>
    <w:tbl>
      <w:tblPr>
        <w:tblLayout w:type="fixed"/>
        <w:tblInd w:w="980" w:type="dxa"/>
        <w:tblCellMar>
          <w:top w:w="0" w:type="dxa"/>
          <w:left w:w="0" w:type="dxa"/>
          <w:bottom w:w="0" w:type="dxa"/>
          <w:right w:w="0" w:type="dxa"/>
        </w:tblCellMar>
      </w:tblPr>
      <w:tr>
        <w:trPr>
          <w:trHeight w:val="260"/>
        </w:trPr>
        <w:tc>
          <w:tcPr>
            <w:tcW w:w="6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7.</w:t>
            </w:r>
          </w:p>
        </w:tc>
        <w:tc>
          <w:tcPr>
            <w:tcW w:w="3780" w:type="dxa"/>
            <w:vAlign w:val="bottom"/>
            <w:tcBorders>
              <w:top w:val="single" w:sz="8" w:color="auto"/>
            </w:tcBorders>
          </w:tcPr>
          <w:p>
            <w:pPr>
              <w:ind w:left="100"/>
              <w:spacing w:after="0"/>
              <w:rPr>
                <w:sz w:val="20"/>
                <w:szCs w:val="20"/>
                <w:color w:val="auto"/>
              </w:rPr>
            </w:pPr>
            <w:r>
              <w:rPr>
                <w:rFonts w:ascii="Arial" w:cs="Arial" w:eastAsia="Arial" w:hAnsi="Arial"/>
                <w:sz w:val="20"/>
                <w:szCs w:val="20"/>
                <w:b w:val="1"/>
                <w:bCs w:val="1"/>
                <w:color w:val="auto"/>
              </w:rPr>
              <w:t>Financing facilities</w:t>
            </w:r>
          </w:p>
        </w:tc>
        <w:tc>
          <w:tcPr>
            <w:tcW w:w="24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Total facility amount at</w:t>
            </w: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Amount drawn at</w:t>
            </w:r>
          </w:p>
        </w:tc>
        <w:tc>
          <w:tcPr>
            <w:tcW w:w="0" w:type="dxa"/>
            <w:vAlign w:val="bottom"/>
          </w:tcPr>
          <w:p>
            <w:pPr>
              <w:spacing w:after="0"/>
              <w:rPr>
                <w:sz w:val="1"/>
                <w:szCs w:val="1"/>
                <w:color w:val="auto"/>
              </w:rPr>
            </w:pPr>
          </w:p>
        </w:tc>
      </w:tr>
      <w:tr>
        <w:trPr>
          <w:trHeight w:val="216"/>
        </w:trPr>
        <w:tc>
          <w:tcPr>
            <w:tcW w:w="640" w:type="dxa"/>
            <w:vAlign w:val="bottom"/>
            <w:tcBorders>
              <w:right w:val="single" w:sz="8" w:color="auto"/>
            </w:tcBorders>
          </w:tcPr>
          <w:p>
            <w:pPr>
              <w:spacing w:after="0"/>
              <w:rPr>
                <w:sz w:val="18"/>
                <w:szCs w:val="18"/>
                <w:color w:val="auto"/>
              </w:rPr>
            </w:pPr>
          </w:p>
        </w:tc>
        <w:tc>
          <w:tcPr>
            <w:tcW w:w="3780" w:type="dxa"/>
            <w:vAlign w:val="bottom"/>
          </w:tcPr>
          <w:p>
            <w:pPr>
              <w:ind w:left="100"/>
              <w:spacing w:after="0" w:line="216" w:lineRule="exact"/>
              <w:rPr>
                <w:sz w:val="20"/>
                <w:szCs w:val="20"/>
                <w:color w:val="auto"/>
              </w:rPr>
            </w:pPr>
            <w:r>
              <w:rPr>
                <w:rFonts w:ascii="Arial" w:cs="Arial" w:eastAsia="Arial" w:hAnsi="Arial"/>
                <w:sz w:val="20"/>
                <w:szCs w:val="20"/>
                <w:i w:val="1"/>
                <w:iCs w:val="1"/>
                <w:color w:val="auto"/>
              </w:rPr>
              <w:t>Note: the term “facility’ includes all forms</w:t>
            </w:r>
          </w:p>
        </w:tc>
        <w:tc>
          <w:tcPr>
            <w:tcW w:w="2420" w:type="dxa"/>
            <w:vAlign w:val="bottom"/>
            <w:tcBorders>
              <w:left w:val="single" w:sz="8" w:color="auto"/>
              <w:right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8"/>
              </w:rPr>
              <w:t>quarter end</w:t>
            </w:r>
          </w:p>
        </w:tc>
        <w:tc>
          <w:tcPr>
            <w:tcW w:w="2240" w:type="dxa"/>
            <w:vAlign w:val="bottom"/>
          </w:tcPr>
          <w:p>
            <w:pPr>
              <w:jc w:val="center"/>
              <w:spacing w:after="0" w:line="216" w:lineRule="exact"/>
              <w:rPr>
                <w:sz w:val="20"/>
                <w:szCs w:val="20"/>
                <w:color w:val="auto"/>
              </w:rPr>
            </w:pPr>
            <w:r>
              <w:rPr>
                <w:rFonts w:ascii="Arial" w:cs="Arial" w:eastAsia="Arial" w:hAnsi="Arial"/>
                <w:sz w:val="20"/>
                <w:szCs w:val="20"/>
                <w:b w:val="1"/>
                <w:bCs w:val="1"/>
                <w:color w:val="auto"/>
                <w:w w:val="99"/>
              </w:rPr>
              <w:t>quarter end</w:t>
            </w:r>
          </w:p>
        </w:tc>
        <w:tc>
          <w:tcPr>
            <w:tcW w:w="0" w:type="dxa"/>
            <w:vAlign w:val="bottom"/>
          </w:tcPr>
          <w:p>
            <w:pPr>
              <w:spacing w:after="0"/>
              <w:rPr>
                <w:sz w:val="1"/>
                <w:szCs w:val="1"/>
                <w:color w:val="auto"/>
              </w:rPr>
            </w:pPr>
          </w:p>
        </w:tc>
      </w:tr>
      <w:tr>
        <w:trPr>
          <w:trHeight w:val="218"/>
        </w:trPr>
        <w:tc>
          <w:tcPr>
            <w:tcW w:w="640" w:type="dxa"/>
            <w:vAlign w:val="bottom"/>
            <w:tcBorders>
              <w:right w:val="single" w:sz="8" w:color="auto"/>
            </w:tcBorders>
          </w:tcPr>
          <w:p>
            <w:pPr>
              <w:spacing w:after="0"/>
              <w:rPr>
                <w:sz w:val="18"/>
                <w:szCs w:val="18"/>
                <w:color w:val="auto"/>
              </w:rPr>
            </w:pPr>
          </w:p>
        </w:tc>
        <w:tc>
          <w:tcPr>
            <w:tcW w:w="3780" w:type="dxa"/>
            <w:vAlign w:val="bottom"/>
          </w:tcPr>
          <w:p>
            <w:pPr>
              <w:ind w:left="100"/>
              <w:spacing w:after="0" w:line="218" w:lineRule="exact"/>
              <w:rPr>
                <w:sz w:val="20"/>
                <w:szCs w:val="20"/>
                <w:color w:val="auto"/>
              </w:rPr>
            </w:pPr>
            <w:r>
              <w:rPr>
                <w:rFonts w:ascii="Arial" w:cs="Arial" w:eastAsia="Arial" w:hAnsi="Arial"/>
                <w:sz w:val="20"/>
                <w:szCs w:val="20"/>
                <w:i w:val="1"/>
                <w:iCs w:val="1"/>
                <w:color w:val="auto"/>
              </w:rPr>
              <w:t>of financing arrangements available to</w:t>
            </w:r>
          </w:p>
        </w:tc>
        <w:tc>
          <w:tcPr>
            <w:tcW w:w="2420" w:type="dxa"/>
            <w:vAlign w:val="bottom"/>
            <w:tcBorders>
              <w:left w:val="single" w:sz="8" w:color="auto"/>
              <w:right w:val="single" w:sz="8" w:color="auto"/>
            </w:tcBorders>
          </w:tcPr>
          <w:p>
            <w:pPr>
              <w:jc w:val="center"/>
              <w:spacing w:after="0" w:line="218" w:lineRule="exact"/>
              <w:rPr>
                <w:sz w:val="20"/>
                <w:szCs w:val="20"/>
                <w:color w:val="auto"/>
              </w:rPr>
            </w:pPr>
            <w:r>
              <w:rPr>
                <w:rFonts w:ascii="Arial" w:cs="Arial" w:eastAsia="Arial" w:hAnsi="Arial"/>
                <w:sz w:val="20"/>
                <w:szCs w:val="20"/>
                <w:b w:val="1"/>
                <w:bCs w:val="1"/>
                <w:color w:val="auto"/>
                <w:w w:val="99"/>
              </w:rPr>
              <w:t>$USD’000</w:t>
            </w:r>
          </w:p>
        </w:tc>
        <w:tc>
          <w:tcPr>
            <w:tcW w:w="2240" w:type="dxa"/>
            <w:vAlign w:val="bottom"/>
          </w:tcPr>
          <w:p>
            <w:pPr>
              <w:jc w:val="center"/>
              <w:spacing w:after="0" w:line="218" w:lineRule="exact"/>
              <w:rPr>
                <w:sz w:val="20"/>
                <w:szCs w:val="20"/>
                <w:color w:val="auto"/>
              </w:rPr>
            </w:pPr>
            <w:r>
              <w:rPr>
                <w:rFonts w:ascii="Arial" w:cs="Arial" w:eastAsia="Arial" w:hAnsi="Arial"/>
                <w:sz w:val="20"/>
                <w:szCs w:val="20"/>
                <w:b w:val="1"/>
                <w:bCs w:val="1"/>
                <w:color w:val="auto"/>
                <w:w w:val="99"/>
              </w:rPr>
              <w:t>$USD’000</w:t>
            </w:r>
          </w:p>
        </w:tc>
        <w:tc>
          <w:tcPr>
            <w:tcW w:w="0" w:type="dxa"/>
            <w:vAlign w:val="bottom"/>
          </w:tcPr>
          <w:p>
            <w:pPr>
              <w:spacing w:after="0"/>
              <w:rPr>
                <w:sz w:val="1"/>
                <w:szCs w:val="1"/>
                <w:color w:val="auto"/>
              </w:rPr>
            </w:pPr>
          </w:p>
        </w:tc>
      </w:tr>
      <w:tr>
        <w:trPr>
          <w:trHeight w:val="261"/>
        </w:trPr>
        <w:tc>
          <w:tcPr>
            <w:tcW w:w="640" w:type="dxa"/>
            <w:vAlign w:val="bottom"/>
            <w:tcBorders>
              <w:right w:val="single" w:sz="8" w:color="auto"/>
            </w:tcBorders>
          </w:tcPr>
          <w:p>
            <w:pPr>
              <w:spacing w:after="0"/>
              <w:rPr>
                <w:sz w:val="22"/>
                <w:szCs w:val="22"/>
                <w:color w:val="auto"/>
              </w:rPr>
            </w:pPr>
          </w:p>
        </w:tc>
        <w:tc>
          <w:tcPr>
            <w:tcW w:w="3780" w:type="dxa"/>
            <w:vAlign w:val="bottom"/>
          </w:tcPr>
          <w:p>
            <w:pPr>
              <w:ind w:left="100"/>
              <w:spacing w:after="0"/>
              <w:rPr>
                <w:sz w:val="20"/>
                <w:szCs w:val="20"/>
                <w:color w:val="auto"/>
              </w:rPr>
            </w:pPr>
            <w:r>
              <w:rPr>
                <w:rFonts w:ascii="Arial" w:cs="Arial" w:eastAsia="Arial" w:hAnsi="Arial"/>
                <w:sz w:val="20"/>
                <w:szCs w:val="20"/>
                <w:i w:val="1"/>
                <w:iCs w:val="1"/>
                <w:color w:val="auto"/>
              </w:rPr>
              <w:t>the entity.</w:t>
            </w:r>
          </w:p>
        </w:tc>
        <w:tc>
          <w:tcPr>
            <w:tcW w:w="2420" w:type="dxa"/>
            <w:vAlign w:val="bottom"/>
            <w:tcBorders>
              <w:left w:val="single" w:sz="8" w:color="auto"/>
              <w:right w:val="single" w:sz="8" w:color="auto"/>
            </w:tcBorders>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640" w:type="dxa"/>
            <w:vAlign w:val="bottom"/>
            <w:tcBorders>
              <w:right w:val="single" w:sz="8" w:color="auto"/>
            </w:tcBorders>
          </w:tcPr>
          <w:p>
            <w:pPr>
              <w:spacing w:after="0"/>
              <w:rPr>
                <w:sz w:val="19"/>
                <w:szCs w:val="19"/>
                <w:color w:val="auto"/>
              </w:rPr>
            </w:pPr>
          </w:p>
        </w:tc>
        <w:tc>
          <w:tcPr>
            <w:tcW w:w="3780" w:type="dxa"/>
            <w:vAlign w:val="bottom"/>
          </w:tcPr>
          <w:p>
            <w:pPr>
              <w:ind w:left="100"/>
              <w:spacing w:after="0" w:line="225" w:lineRule="exact"/>
              <w:rPr>
                <w:sz w:val="20"/>
                <w:szCs w:val="20"/>
                <w:color w:val="auto"/>
              </w:rPr>
            </w:pPr>
            <w:r>
              <w:rPr>
                <w:rFonts w:ascii="Arial" w:cs="Arial" w:eastAsia="Arial" w:hAnsi="Arial"/>
                <w:sz w:val="20"/>
                <w:szCs w:val="20"/>
                <w:i w:val="1"/>
                <w:iCs w:val="1"/>
                <w:color w:val="auto"/>
              </w:rPr>
              <w:t>Add notes as necessary for an</w:t>
            </w:r>
          </w:p>
        </w:tc>
        <w:tc>
          <w:tcPr>
            <w:tcW w:w="2420" w:type="dxa"/>
            <w:vAlign w:val="bottom"/>
            <w:tcBorders>
              <w:left w:val="single" w:sz="8" w:color="auto"/>
              <w:right w:val="single" w:sz="8" w:color="auto"/>
            </w:tcBorders>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0" w:type="dxa"/>
            <w:vAlign w:val="bottom"/>
            <w:tcBorders>
              <w:right w:val="single" w:sz="8" w:color="auto"/>
            </w:tcBorders>
          </w:tcPr>
          <w:p>
            <w:pPr>
              <w:spacing w:after="0"/>
              <w:rPr>
                <w:sz w:val="18"/>
                <w:szCs w:val="18"/>
                <w:color w:val="auto"/>
              </w:rPr>
            </w:pPr>
          </w:p>
        </w:tc>
        <w:tc>
          <w:tcPr>
            <w:tcW w:w="3780" w:type="dxa"/>
            <w:vAlign w:val="bottom"/>
          </w:tcPr>
          <w:p>
            <w:pPr>
              <w:ind w:left="100"/>
              <w:spacing w:after="0" w:line="216" w:lineRule="exact"/>
              <w:rPr>
                <w:sz w:val="20"/>
                <w:szCs w:val="20"/>
                <w:color w:val="auto"/>
              </w:rPr>
            </w:pPr>
            <w:r>
              <w:rPr>
                <w:rFonts w:ascii="Arial" w:cs="Arial" w:eastAsia="Arial" w:hAnsi="Arial"/>
                <w:sz w:val="20"/>
                <w:szCs w:val="20"/>
                <w:i w:val="1"/>
                <w:iCs w:val="1"/>
                <w:color w:val="auto"/>
              </w:rPr>
              <w:t>understanding of the sources of finance</w:t>
            </w:r>
          </w:p>
        </w:tc>
        <w:tc>
          <w:tcPr>
            <w:tcW w:w="2420" w:type="dxa"/>
            <w:vAlign w:val="bottom"/>
            <w:tcBorders>
              <w:left w:val="single" w:sz="8" w:color="auto"/>
              <w:right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40" w:type="dxa"/>
            <w:vAlign w:val="bottom"/>
            <w:tcBorders>
              <w:right w:val="single" w:sz="8" w:color="auto"/>
            </w:tcBorders>
          </w:tcPr>
          <w:p>
            <w:pPr>
              <w:spacing w:after="0"/>
              <w:rPr>
                <w:sz w:val="22"/>
                <w:szCs w:val="22"/>
                <w:color w:val="auto"/>
              </w:rPr>
            </w:pPr>
          </w:p>
        </w:tc>
        <w:tc>
          <w:tcPr>
            <w:tcW w:w="3780" w:type="dxa"/>
            <w:vAlign w:val="bottom"/>
          </w:tcPr>
          <w:p>
            <w:pPr>
              <w:ind w:left="100"/>
              <w:spacing w:after="0"/>
              <w:rPr>
                <w:sz w:val="20"/>
                <w:szCs w:val="20"/>
                <w:color w:val="auto"/>
              </w:rPr>
            </w:pPr>
            <w:r>
              <w:rPr>
                <w:rFonts w:ascii="Arial" w:cs="Arial" w:eastAsia="Arial" w:hAnsi="Arial"/>
                <w:sz w:val="20"/>
                <w:szCs w:val="20"/>
                <w:i w:val="1"/>
                <w:iCs w:val="1"/>
                <w:color w:val="auto"/>
              </w:rPr>
              <w:t>available to the entity.</w:t>
            </w:r>
          </w:p>
        </w:tc>
        <w:tc>
          <w:tcPr>
            <w:tcW w:w="2420" w:type="dxa"/>
            <w:vAlign w:val="bottom"/>
            <w:tcBorders>
              <w:left w:val="single" w:sz="8" w:color="auto"/>
              <w:right w:val="single" w:sz="8" w:color="auto"/>
            </w:tcBorders>
          </w:tcPr>
          <w:p>
            <w:pPr>
              <w:spacing w:after="0"/>
              <w:rPr>
                <w:sz w:val="22"/>
                <w:szCs w:val="22"/>
                <w:color w:val="auto"/>
              </w:rPr>
            </w:pPr>
          </w:p>
        </w:tc>
        <w:tc>
          <w:tcPr>
            <w:tcW w:w="2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
        </w:trPr>
        <w:tc>
          <w:tcPr>
            <w:tcW w:w="640" w:type="dxa"/>
            <w:vAlign w:val="bottom"/>
            <w:tcBorders>
              <w:bottom w:val="single" w:sz="8" w:color="auto"/>
              <w:right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4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6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7.1</w:t>
            </w:r>
          </w:p>
        </w:tc>
        <w:tc>
          <w:tcPr>
            <w:tcW w:w="3780" w:type="dxa"/>
            <w:vAlign w:val="bottom"/>
          </w:tcPr>
          <w:p>
            <w:pPr>
              <w:ind w:left="100"/>
              <w:spacing w:after="0"/>
              <w:rPr>
                <w:sz w:val="20"/>
                <w:szCs w:val="20"/>
                <w:color w:val="auto"/>
              </w:rPr>
            </w:pPr>
            <w:r>
              <w:rPr>
                <w:rFonts w:ascii="Arial" w:cs="Arial" w:eastAsia="Arial" w:hAnsi="Arial"/>
                <w:sz w:val="20"/>
                <w:szCs w:val="20"/>
                <w:color w:val="auto"/>
              </w:rPr>
              <w:t>Loan facilities</w:t>
            </w:r>
          </w:p>
        </w:tc>
        <w:tc>
          <w:tcPr>
            <w:tcW w:w="242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30,100</w:t>
            </w:r>
          </w:p>
        </w:tc>
        <w:tc>
          <w:tcPr>
            <w:tcW w:w="2240" w:type="dxa"/>
            <w:vAlign w:val="bottom"/>
          </w:tcPr>
          <w:p>
            <w:pPr>
              <w:jc w:val="right"/>
              <w:ind w:right="1"/>
              <w:spacing w:after="0"/>
              <w:rPr>
                <w:sz w:val="20"/>
                <w:szCs w:val="20"/>
                <w:color w:val="auto"/>
              </w:rPr>
            </w:pPr>
            <w:r>
              <w:rPr>
                <w:rFonts w:ascii="Arial" w:cs="Arial" w:eastAsia="Arial" w:hAnsi="Arial"/>
                <w:sz w:val="20"/>
                <w:szCs w:val="20"/>
                <w:color w:val="auto"/>
              </w:rPr>
              <w:t>30,100</w:t>
            </w:r>
          </w:p>
        </w:tc>
        <w:tc>
          <w:tcPr>
            <w:tcW w:w="0" w:type="dxa"/>
            <w:vAlign w:val="bottom"/>
          </w:tcPr>
          <w:p>
            <w:pPr>
              <w:spacing w:after="0"/>
              <w:rPr>
                <w:sz w:val="1"/>
                <w:szCs w:val="1"/>
                <w:color w:val="auto"/>
              </w:rPr>
            </w:pPr>
          </w:p>
        </w:tc>
      </w:tr>
      <w:tr>
        <w:trPr>
          <w:trHeight w:val="30"/>
        </w:trPr>
        <w:tc>
          <w:tcPr>
            <w:tcW w:w="640" w:type="dxa"/>
            <w:vAlign w:val="bottom"/>
            <w:tcBorders>
              <w:bottom w:val="single" w:sz="8" w:color="auto"/>
              <w:right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6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7.2</w:t>
            </w:r>
          </w:p>
        </w:tc>
        <w:tc>
          <w:tcPr>
            <w:tcW w:w="3780" w:type="dxa"/>
            <w:vAlign w:val="bottom"/>
          </w:tcPr>
          <w:p>
            <w:pPr>
              <w:ind w:left="100"/>
              <w:spacing w:after="0"/>
              <w:rPr>
                <w:sz w:val="20"/>
                <w:szCs w:val="20"/>
                <w:color w:val="auto"/>
              </w:rPr>
            </w:pPr>
            <w:r>
              <w:rPr>
                <w:rFonts w:ascii="Arial" w:cs="Arial" w:eastAsia="Arial" w:hAnsi="Arial"/>
                <w:sz w:val="20"/>
                <w:szCs w:val="20"/>
                <w:color w:val="auto"/>
              </w:rPr>
              <w:t>Credit standby arrangements</w:t>
            </w:r>
          </w:p>
        </w:tc>
        <w:tc>
          <w:tcPr>
            <w:tcW w:w="242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w:t>
            </w:r>
          </w:p>
        </w:tc>
        <w:tc>
          <w:tcPr>
            <w:tcW w:w="2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30"/>
        </w:trPr>
        <w:tc>
          <w:tcPr>
            <w:tcW w:w="640" w:type="dxa"/>
            <w:vAlign w:val="bottom"/>
            <w:tcBorders>
              <w:bottom w:val="single" w:sz="8" w:color="auto"/>
              <w:right w:val="single" w:sz="8" w:color="auto"/>
            </w:tcBorders>
          </w:tcPr>
          <w:p>
            <w:pPr>
              <w:spacing w:after="0"/>
              <w:rPr>
                <w:sz w:val="2"/>
                <w:szCs w:val="2"/>
                <w:color w:val="auto"/>
              </w:rPr>
            </w:pPr>
          </w:p>
        </w:tc>
        <w:tc>
          <w:tcPr>
            <w:tcW w:w="3780" w:type="dxa"/>
            <w:vAlign w:val="bottom"/>
          </w:tcPr>
          <w:p>
            <w:pPr>
              <w:spacing w:after="0"/>
              <w:rPr>
                <w:sz w:val="2"/>
                <w:szCs w:val="2"/>
                <w:color w:val="auto"/>
              </w:rPr>
            </w:pPr>
          </w:p>
        </w:tc>
        <w:tc>
          <w:tcPr>
            <w:tcW w:w="242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6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7.3</w:t>
            </w:r>
          </w:p>
        </w:tc>
        <w:tc>
          <w:tcPr>
            <w:tcW w:w="3780" w:type="dxa"/>
            <w:vAlign w:val="bottom"/>
          </w:tcPr>
          <w:p>
            <w:pPr>
              <w:ind w:left="100"/>
              <w:spacing w:after="0"/>
              <w:rPr>
                <w:sz w:val="20"/>
                <w:szCs w:val="20"/>
                <w:color w:val="auto"/>
              </w:rPr>
            </w:pPr>
            <w:r>
              <w:rPr>
                <w:rFonts w:ascii="Arial" w:cs="Arial" w:eastAsia="Arial" w:hAnsi="Arial"/>
                <w:sz w:val="20"/>
                <w:szCs w:val="20"/>
                <w:color w:val="auto"/>
              </w:rPr>
              <w:t>Other (please specify) –</w:t>
            </w:r>
          </w:p>
        </w:tc>
        <w:tc>
          <w:tcPr>
            <w:tcW w:w="2420" w:type="dxa"/>
            <w:vAlign w:val="bottom"/>
            <w:tcBorders>
              <w:right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right w:val="single" w:sz="8" w:color="auto"/>
            </w:tcBorders>
          </w:tcPr>
          <w:p>
            <w:pPr>
              <w:spacing w:after="0"/>
              <w:rPr>
                <w:sz w:val="23"/>
                <w:szCs w:val="23"/>
                <w:color w:val="auto"/>
              </w:rPr>
            </w:pPr>
          </w:p>
        </w:tc>
        <w:tc>
          <w:tcPr>
            <w:tcW w:w="3780" w:type="dxa"/>
            <w:vAlign w:val="bottom"/>
          </w:tcPr>
          <w:p>
            <w:pPr>
              <w:ind w:left="260"/>
              <w:spacing w:after="0"/>
              <w:rPr>
                <w:sz w:val="20"/>
                <w:szCs w:val="20"/>
                <w:color w:val="auto"/>
              </w:rPr>
            </w:pPr>
            <w:r>
              <w:rPr>
                <w:rFonts w:ascii="Arial" w:cs="Arial" w:eastAsia="Arial" w:hAnsi="Arial"/>
                <w:sz w:val="20"/>
                <w:szCs w:val="20"/>
                <w:color w:val="auto"/>
              </w:rPr>
              <w:t>Convertible debentures</w:t>
            </w:r>
          </w:p>
        </w:tc>
        <w:tc>
          <w:tcPr>
            <w:tcW w:w="2420" w:type="dxa"/>
            <w:vAlign w:val="bottom"/>
            <w:tcBorders>
              <w:right w:val="single" w:sz="8" w:color="auto"/>
            </w:tcBorders>
          </w:tcPr>
          <w:p>
            <w:pPr>
              <w:jc w:val="right"/>
              <w:ind w:right="21"/>
              <w:spacing w:after="0"/>
              <w:rPr>
                <w:sz w:val="20"/>
                <w:szCs w:val="20"/>
                <w:color w:val="auto"/>
              </w:rPr>
            </w:pPr>
            <w:r>
              <w:rPr>
                <w:rFonts w:ascii="Arial" w:cs="Arial" w:eastAsia="Arial" w:hAnsi="Arial"/>
                <w:sz w:val="20"/>
                <w:szCs w:val="20"/>
                <w:color w:val="auto"/>
              </w:rPr>
              <w:t>28,000</w:t>
            </w:r>
          </w:p>
        </w:tc>
        <w:tc>
          <w:tcPr>
            <w:tcW w:w="2240" w:type="dxa"/>
            <w:vAlign w:val="bottom"/>
          </w:tcPr>
          <w:p>
            <w:pPr>
              <w:jc w:val="right"/>
              <w:ind w:right="1"/>
              <w:spacing w:after="0"/>
              <w:rPr>
                <w:sz w:val="20"/>
                <w:szCs w:val="20"/>
                <w:color w:val="auto"/>
              </w:rPr>
            </w:pPr>
            <w:r>
              <w:rPr>
                <w:rFonts w:ascii="Arial" w:cs="Arial" w:eastAsia="Arial" w:hAnsi="Arial"/>
                <w:sz w:val="20"/>
                <w:szCs w:val="20"/>
                <w:color w:val="auto"/>
              </w:rPr>
              <w:t>28,000</w:t>
            </w:r>
          </w:p>
        </w:tc>
        <w:tc>
          <w:tcPr>
            <w:tcW w:w="0" w:type="dxa"/>
            <w:vAlign w:val="bottom"/>
          </w:tcPr>
          <w:p>
            <w:pPr>
              <w:spacing w:after="0"/>
              <w:rPr>
                <w:sz w:val="1"/>
                <w:szCs w:val="1"/>
                <w:color w:val="auto"/>
              </w:rPr>
            </w:pPr>
          </w:p>
        </w:tc>
      </w:tr>
      <w:tr>
        <w:trPr>
          <w:trHeight w:val="30"/>
        </w:trPr>
        <w:tc>
          <w:tcPr>
            <w:tcW w:w="640" w:type="dxa"/>
            <w:vAlign w:val="bottom"/>
            <w:tcBorders>
              <w:bottom w:val="single" w:sz="8" w:color="auto"/>
              <w:right w:val="single" w:sz="8" w:color="auto"/>
            </w:tcBorders>
          </w:tcPr>
          <w:p>
            <w:pPr>
              <w:spacing w:after="0"/>
              <w:rPr>
                <w:sz w:val="2"/>
                <w:szCs w:val="2"/>
                <w:color w:val="auto"/>
              </w:rPr>
            </w:pPr>
          </w:p>
        </w:tc>
        <w:tc>
          <w:tcPr>
            <w:tcW w:w="3780" w:type="dxa"/>
            <w:vAlign w:val="bottom"/>
            <w:vMerge w:val="restart"/>
          </w:tcPr>
          <w:p>
            <w:pPr>
              <w:ind w:left="100"/>
              <w:spacing w:after="0"/>
              <w:rPr>
                <w:sz w:val="20"/>
                <w:szCs w:val="20"/>
                <w:color w:val="auto"/>
              </w:rPr>
            </w:pPr>
            <w:r>
              <w:rPr>
                <w:rFonts w:ascii="Arial" w:cs="Arial" w:eastAsia="Arial" w:hAnsi="Arial"/>
                <w:sz w:val="20"/>
                <w:szCs w:val="20"/>
                <w:b w:val="1"/>
                <w:bCs w:val="1"/>
                <w:color w:val="auto"/>
              </w:rPr>
              <w:t>Total financing facilities</w:t>
            </w:r>
          </w:p>
        </w:tc>
        <w:tc>
          <w:tcPr>
            <w:tcW w:w="2420" w:type="dxa"/>
            <w:vAlign w:val="bottom"/>
            <w:tcBorders>
              <w:bottom w:val="single" w:sz="8" w:color="auto"/>
              <w:right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6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7.4</w:t>
            </w:r>
          </w:p>
        </w:tc>
        <w:tc>
          <w:tcPr>
            <w:tcW w:w="3780" w:type="dxa"/>
            <w:vAlign w:val="bottom"/>
            <w:vMerge w:val="continue"/>
          </w:tcPr>
          <w:p>
            <w:pPr>
              <w:spacing w:after="0"/>
              <w:rPr>
                <w:sz w:val="24"/>
                <w:szCs w:val="24"/>
                <w:color w:val="auto"/>
              </w:rPr>
            </w:pPr>
          </w:p>
        </w:tc>
        <w:tc>
          <w:tcPr>
            <w:tcW w:w="2420" w:type="dxa"/>
            <w:vAlign w:val="bottom"/>
            <w:tcBorders>
              <w:left w:val="single" w:sz="8" w:color="auto"/>
              <w:right w:val="single" w:sz="8" w:color="auto"/>
            </w:tcBorders>
          </w:tcPr>
          <w:p>
            <w:pPr>
              <w:jc w:val="right"/>
              <w:ind w:right="21"/>
              <w:spacing w:after="0"/>
              <w:rPr>
                <w:sz w:val="20"/>
                <w:szCs w:val="20"/>
                <w:color w:val="auto"/>
              </w:rPr>
            </w:pPr>
            <w:r>
              <w:rPr>
                <w:rFonts w:ascii="Arial" w:cs="Arial" w:eastAsia="Arial" w:hAnsi="Arial"/>
                <w:sz w:val="20"/>
                <w:szCs w:val="20"/>
                <w:color w:val="auto"/>
              </w:rPr>
              <w:t>58,100</w:t>
            </w:r>
          </w:p>
        </w:tc>
        <w:tc>
          <w:tcPr>
            <w:tcW w:w="2240" w:type="dxa"/>
            <w:vAlign w:val="bottom"/>
          </w:tcPr>
          <w:p>
            <w:pPr>
              <w:jc w:val="right"/>
              <w:ind w:right="1"/>
              <w:spacing w:after="0"/>
              <w:rPr>
                <w:sz w:val="20"/>
                <w:szCs w:val="20"/>
                <w:color w:val="auto"/>
              </w:rPr>
            </w:pPr>
            <w:r>
              <w:rPr>
                <w:rFonts w:ascii="Arial" w:cs="Arial" w:eastAsia="Arial" w:hAnsi="Arial"/>
                <w:sz w:val="20"/>
                <w:szCs w:val="20"/>
                <w:color w:val="auto"/>
              </w:rPr>
              <w:t>58,100</w:t>
            </w: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right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24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7"/>
        </w:trPr>
        <w:tc>
          <w:tcPr>
            <w:tcW w:w="6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7.5</w:t>
            </w:r>
          </w:p>
        </w:tc>
        <w:tc>
          <w:tcPr>
            <w:tcW w:w="6200" w:type="dxa"/>
            <w:vAlign w:val="bottom"/>
            <w:tcBorders>
              <w:right w:val="single" w:sz="8" w:color="auto"/>
            </w:tcBorders>
            <w:gridSpan w:val="2"/>
          </w:tcPr>
          <w:p>
            <w:pPr>
              <w:ind w:left="100"/>
              <w:spacing w:after="0"/>
              <w:rPr>
                <w:sz w:val="20"/>
                <w:szCs w:val="20"/>
                <w:color w:val="auto"/>
              </w:rPr>
            </w:pPr>
            <w:r>
              <w:rPr>
                <w:rFonts w:ascii="Arial" w:cs="Arial" w:eastAsia="Arial" w:hAnsi="Arial"/>
                <w:sz w:val="20"/>
                <w:szCs w:val="20"/>
                <w:b w:val="1"/>
                <w:bCs w:val="1"/>
                <w:color w:val="auto"/>
              </w:rPr>
              <w:t>Unused financing facilities available at quarter end</w:t>
            </w:r>
          </w:p>
        </w:tc>
        <w:tc>
          <w:tcPr>
            <w:tcW w:w="224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640" w:type="dxa"/>
            <w:vAlign w:val="bottom"/>
            <w:tcBorders>
              <w:bottom w:val="single" w:sz="8" w:color="auto"/>
              <w:right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565785</wp:posOffset>
            </wp:positionV>
            <wp:extent cx="576072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60720" cy="2540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737235</wp:posOffset>
            </wp:positionV>
            <wp:extent cx="462915" cy="4286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62915" cy="428625"/>
                    </a:xfrm>
                    <a:prstGeom prst="rect">
                      <a:avLst/>
                    </a:prstGeom>
                    <a:noFill/>
                  </pic:spPr>
                </pic:pic>
              </a:graphicData>
            </a:graphic>
          </wp:anchor>
        </w:drawing>
        <w:drawing>
          <wp:anchor simplePos="0" relativeHeight="251657728" behindDoc="1" locked="0" layoutInCell="0" allowOverlap="1">
            <wp:simplePos x="0" y="0"/>
            <wp:positionH relativeFrom="column">
              <wp:posOffset>3417570</wp:posOffset>
            </wp:positionH>
            <wp:positionV relativeFrom="paragraph">
              <wp:posOffset>-1255395</wp:posOffset>
            </wp:positionV>
            <wp:extent cx="33655" cy="8401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640" w:type="dxa"/>
            <w:vAlign w:val="bottom"/>
          </w:tcPr>
          <w:p>
            <w:pPr>
              <w:ind w:left="980"/>
              <w:spacing w:after="0"/>
              <w:rPr>
                <w:sz w:val="20"/>
                <w:szCs w:val="20"/>
                <w:color w:val="auto"/>
              </w:rPr>
            </w:pPr>
            <w:r>
              <w:rPr>
                <w:rFonts w:ascii="Arial" w:cs="Arial" w:eastAsia="Arial" w:hAnsi="Arial"/>
                <w:sz w:val="20"/>
                <w:szCs w:val="20"/>
                <w:color w:val="373A36"/>
              </w:rPr>
              <w:t>1029 West 19th Street, Chattanooga, Tennessee, USA, 37408 | novonixgroup.com</w:t>
            </w:r>
          </w:p>
        </w:tc>
        <w:tc>
          <w:tcPr>
            <w:tcW w:w="2400" w:type="dxa"/>
            <w:vAlign w:val="bottom"/>
          </w:tcPr>
          <w:p>
            <w:pPr>
              <w:jc w:val="right"/>
              <w:ind w:right="1681"/>
              <w:spacing w:after="0"/>
              <w:rPr>
                <w:sz w:val="20"/>
                <w:szCs w:val="20"/>
                <w:color w:val="auto"/>
              </w:rPr>
            </w:pPr>
            <w:r>
              <w:rPr>
                <w:rFonts w:ascii="Arial" w:cs="Arial" w:eastAsia="Arial" w:hAnsi="Arial"/>
                <w:sz w:val="20"/>
                <w:szCs w:val="20"/>
                <w:color w:val="auto"/>
              </w:rPr>
              <w:t>12</w:t>
            </w:r>
          </w:p>
        </w:tc>
      </w:tr>
      <w:tr>
        <w:trPr>
          <w:trHeight w:val="1171"/>
        </w:trPr>
        <w:tc>
          <w:tcPr>
            <w:tcW w:w="86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15" w:name="page16"/>
    <w:bookmarkEnd w:id="15"/>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260350</wp:posOffset>
            </wp:positionV>
            <wp:extent cx="6026150" cy="6609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26150" cy="6609715"/>
                    </a:xfrm>
                    <a:prstGeom prst="rect">
                      <a:avLst/>
                    </a:prstGeom>
                    <a:noFill/>
                  </pic:spPr>
                </pic:pic>
              </a:graphicData>
            </a:graphic>
          </wp:anchor>
        </w:drawing>
      </w:r>
    </w:p>
    <w:p>
      <w:pPr>
        <w:ind w:left="1720" w:right="1160" w:hanging="620"/>
        <w:spacing w:after="0" w:line="237" w:lineRule="auto"/>
        <w:tabs>
          <w:tab w:leader="none" w:pos="1700" w:val="left"/>
        </w:tabs>
        <w:rPr>
          <w:sz w:val="20"/>
          <w:szCs w:val="20"/>
          <w:color w:val="auto"/>
        </w:rPr>
      </w:pPr>
      <w:r>
        <w:rPr>
          <w:rFonts w:ascii="Arial" w:cs="Arial" w:eastAsia="Arial" w:hAnsi="Arial"/>
          <w:sz w:val="20"/>
          <w:szCs w:val="20"/>
          <w:color w:val="auto"/>
        </w:rPr>
        <w:t>7.6</w:t>
      </w:r>
      <w:r>
        <w:rPr>
          <w:sz w:val="20"/>
          <w:szCs w:val="20"/>
          <w:color w:val="auto"/>
        </w:rPr>
        <w:tab/>
      </w:r>
      <w:r>
        <w:rPr>
          <w:rFonts w:ascii="Arial" w:cs="Arial" w:eastAsia="Arial" w:hAnsi="Arial"/>
          <w:sz w:val="20"/>
          <w:szCs w:val="20"/>
          <w:color w:val="auto"/>
        </w:rPr>
        <w:t>Include in the box below a description of each facility above, including the lender, interest rate, maturity date and whether it is secured or unsecured. If any additional financing facilities have been entered into or are proposed to be entered into after quarter end, include a note providing details of those facilities as well.</w:t>
      </w:r>
    </w:p>
    <w:p>
      <w:pPr>
        <w:spacing w:after="0" w:line="23" w:lineRule="exact"/>
        <w:rPr>
          <w:sz w:val="20"/>
          <w:szCs w:val="20"/>
          <w:color w:val="auto"/>
        </w:rPr>
      </w:pPr>
    </w:p>
    <w:p>
      <w:pPr>
        <w:ind w:left="2360" w:right="1120" w:hanging="310"/>
        <w:spacing w:after="0" w:line="227" w:lineRule="auto"/>
        <w:tabs>
          <w:tab w:leader="none" w:pos="23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On 28 October 2025, the Company entered into a Funding Agreement for an additional drawdown of US$40,000,000, net of a 5% discount, of unsecured convertible debentures issued to Yorkville Advisors Global LP. Interest rate is 5% and the debentures are convertible at the holder’s election (refer to ASX Announcement of 28 October 2025). The debentures were fully drawn at 30 September 2026. During the quarter, an Amortisation Event occurred under the Funding Agreement and the Company redeemed debentures with a face value of US$7,000,000 by cash payment (refer to ASX Announcement of 10 September 2026). The face value of debentures outstanding at 30 September 2026 was US$28,000,000.</w:t>
      </w:r>
    </w:p>
    <w:p>
      <w:pPr>
        <w:spacing w:after="0" w:line="3" w:lineRule="exact"/>
        <w:rPr>
          <w:rFonts w:ascii="Times New Roman" w:cs="Times New Roman" w:eastAsia="Times New Roman" w:hAnsi="Times New Roman"/>
          <w:sz w:val="20"/>
          <w:szCs w:val="20"/>
          <w:color w:val="auto"/>
        </w:rPr>
      </w:pPr>
    </w:p>
    <w:p>
      <w:pPr>
        <w:ind w:left="2360" w:right="1120" w:hanging="310"/>
        <w:spacing w:after="0" w:line="229" w:lineRule="auto"/>
        <w:tabs>
          <w:tab w:leader="none" w:pos="236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On 28 July 2021, the Group purchased commercial land and buildings in Chattanooga for USD $42.6M to expand the NAM business. The Group entered into a loan facility with PNC Real Estate to purchase the land and buildings. The total available amount under the facility is USD$30,100,000 and it has been fully drawn down as of 30 September 2026. The facility is repayable in monthly instalments, commencing September 2021 and ending August 2031. The land and buildings have been pledged as security for the loan.</w:t>
      </w:r>
    </w:p>
    <w:p>
      <w:pPr>
        <w:spacing w:after="0" w:line="175" w:lineRule="exact"/>
        <w:rPr>
          <w:sz w:val="20"/>
          <w:szCs w:val="20"/>
          <w:color w:val="auto"/>
        </w:rPr>
      </w:pPr>
    </w:p>
    <w:tbl>
      <w:tblPr>
        <w:tblLayout w:type="fixed"/>
        <w:tblInd w:w="980" w:type="dxa"/>
        <w:tblCellMar>
          <w:top w:w="0" w:type="dxa"/>
          <w:left w:w="0" w:type="dxa"/>
          <w:bottom w:w="0" w:type="dxa"/>
          <w:right w:w="0" w:type="dxa"/>
        </w:tblCellMar>
      </w:tblPr>
      <w:tr>
        <w:trPr>
          <w:trHeight w:val="331"/>
        </w:trPr>
        <w:tc>
          <w:tcPr>
            <w:tcW w:w="620" w:type="dxa"/>
            <w:vAlign w:val="bottom"/>
          </w:tcPr>
          <w:p>
            <w:pPr>
              <w:ind w:left="120"/>
              <w:spacing w:after="0"/>
              <w:rPr>
                <w:sz w:val="20"/>
                <w:szCs w:val="20"/>
                <w:color w:val="auto"/>
              </w:rPr>
            </w:pPr>
            <w:r>
              <w:rPr>
                <w:rFonts w:ascii="Arial" w:cs="Arial" w:eastAsia="Arial" w:hAnsi="Arial"/>
                <w:sz w:val="20"/>
                <w:szCs w:val="20"/>
                <w:b w:val="1"/>
                <w:bCs w:val="1"/>
                <w:color w:val="auto"/>
              </w:rPr>
              <w:t>8.</w:t>
            </w:r>
          </w:p>
        </w:tc>
        <w:tc>
          <w:tcPr>
            <w:tcW w:w="624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20"/>
                <w:szCs w:val="20"/>
                <w:b w:val="1"/>
                <w:bCs w:val="1"/>
                <w:color w:val="auto"/>
              </w:rPr>
              <w:t>Estimated cash available for future operating activities</w:t>
            </w:r>
          </w:p>
        </w:tc>
        <w:tc>
          <w:tcPr>
            <w:tcW w:w="2220" w:type="dxa"/>
            <w:vAlign w:val="bottom"/>
            <w:tcBorders>
              <w:top w:val="single" w:sz="8" w:color="auto"/>
            </w:tcBorders>
          </w:tcPr>
          <w:p>
            <w:pPr>
              <w:jc w:val="right"/>
              <w:ind w:right="561"/>
              <w:spacing w:after="0"/>
              <w:rPr>
                <w:sz w:val="20"/>
                <w:szCs w:val="20"/>
                <w:color w:val="auto"/>
              </w:rPr>
            </w:pPr>
            <w:r>
              <w:rPr>
                <w:rFonts w:ascii="Arial" w:cs="Arial" w:eastAsia="Arial" w:hAnsi="Arial"/>
                <w:sz w:val="20"/>
                <w:szCs w:val="20"/>
                <w:b w:val="1"/>
                <w:bCs w:val="1"/>
                <w:color w:val="auto"/>
              </w:rPr>
              <w:t>$USD’000</w:t>
            </w:r>
          </w:p>
        </w:tc>
      </w:tr>
      <w:tr>
        <w:trPr>
          <w:trHeight w:val="21"/>
        </w:trPr>
        <w:tc>
          <w:tcPr>
            <w:tcW w:w="620" w:type="dxa"/>
            <w:vAlign w:val="bottom"/>
            <w:tcBorders>
              <w:bottom w:val="single" w:sz="8" w:color="auto"/>
            </w:tcBorders>
          </w:tcPr>
          <w:p>
            <w:pPr>
              <w:spacing w:after="0" w:line="20" w:lineRule="exact"/>
              <w:rPr>
                <w:sz w:val="1"/>
                <w:szCs w:val="1"/>
                <w:color w:val="auto"/>
              </w:rPr>
            </w:pPr>
          </w:p>
        </w:tc>
        <w:tc>
          <w:tcPr>
            <w:tcW w:w="6240" w:type="dxa"/>
            <w:vAlign w:val="bottom"/>
            <w:tcBorders>
              <w:bottom w:val="single" w:sz="8" w:color="auto"/>
              <w:right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87"/>
        </w:trPr>
        <w:tc>
          <w:tcPr>
            <w:tcW w:w="620" w:type="dxa"/>
            <w:vAlign w:val="bottom"/>
          </w:tcPr>
          <w:p>
            <w:pPr>
              <w:ind w:left="120"/>
              <w:spacing w:after="0"/>
              <w:rPr>
                <w:sz w:val="20"/>
                <w:szCs w:val="20"/>
                <w:color w:val="auto"/>
              </w:rPr>
            </w:pPr>
            <w:r>
              <w:rPr>
                <w:rFonts w:ascii="Arial" w:cs="Arial" w:eastAsia="Arial" w:hAnsi="Arial"/>
                <w:sz w:val="20"/>
                <w:szCs w:val="20"/>
                <w:color w:val="auto"/>
              </w:rPr>
              <w:t>8.1</w:t>
            </w:r>
          </w:p>
        </w:tc>
        <w:tc>
          <w:tcPr>
            <w:tcW w:w="62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Net cash from / (used in) operating activities (item 1.9)</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(9,765)</w:t>
            </w:r>
          </w:p>
        </w:tc>
      </w:tr>
      <w:tr>
        <w:trPr>
          <w:trHeight w:val="324"/>
        </w:trPr>
        <w:tc>
          <w:tcPr>
            <w:tcW w:w="620" w:type="dxa"/>
            <w:vAlign w:val="bottom"/>
          </w:tcPr>
          <w:p>
            <w:pPr>
              <w:ind w:left="120"/>
              <w:spacing w:after="0"/>
              <w:rPr>
                <w:sz w:val="20"/>
                <w:szCs w:val="20"/>
                <w:color w:val="auto"/>
              </w:rPr>
            </w:pPr>
            <w:r>
              <w:rPr>
                <w:rFonts w:ascii="Arial" w:cs="Arial" w:eastAsia="Arial" w:hAnsi="Arial"/>
                <w:sz w:val="20"/>
                <w:szCs w:val="20"/>
                <w:color w:val="auto"/>
              </w:rPr>
              <w:t>8.2</w:t>
            </w:r>
          </w:p>
        </w:tc>
        <w:tc>
          <w:tcPr>
            <w:tcW w:w="62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Cash and cash equivalents at quarter end (item 4.6)</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33,652</w:t>
            </w:r>
          </w:p>
        </w:tc>
      </w:tr>
      <w:tr>
        <w:trPr>
          <w:trHeight w:val="324"/>
        </w:trPr>
        <w:tc>
          <w:tcPr>
            <w:tcW w:w="620" w:type="dxa"/>
            <w:vAlign w:val="bottom"/>
          </w:tcPr>
          <w:p>
            <w:pPr>
              <w:ind w:left="120"/>
              <w:spacing w:after="0"/>
              <w:rPr>
                <w:sz w:val="20"/>
                <w:szCs w:val="20"/>
                <w:color w:val="auto"/>
              </w:rPr>
            </w:pPr>
            <w:r>
              <w:rPr>
                <w:rFonts w:ascii="Arial" w:cs="Arial" w:eastAsia="Arial" w:hAnsi="Arial"/>
                <w:sz w:val="20"/>
                <w:szCs w:val="20"/>
                <w:color w:val="auto"/>
              </w:rPr>
              <w:t>8.3</w:t>
            </w:r>
          </w:p>
        </w:tc>
        <w:tc>
          <w:tcPr>
            <w:tcW w:w="62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Unused finance facilities available at quarter end (item 7.5)</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w:t>
            </w:r>
          </w:p>
        </w:tc>
      </w:tr>
      <w:tr>
        <w:trPr>
          <w:trHeight w:val="30"/>
        </w:trPr>
        <w:tc>
          <w:tcPr>
            <w:tcW w:w="620" w:type="dxa"/>
            <w:vAlign w:val="bottom"/>
          </w:tcPr>
          <w:p>
            <w:pPr>
              <w:spacing w:after="0"/>
              <w:rPr>
                <w:sz w:val="2"/>
                <w:szCs w:val="2"/>
                <w:color w:val="auto"/>
              </w:rPr>
            </w:pPr>
          </w:p>
        </w:tc>
        <w:tc>
          <w:tcPr>
            <w:tcW w:w="6240" w:type="dxa"/>
            <w:vAlign w:val="bottom"/>
            <w:tcBorders>
              <w:right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87"/>
        </w:trPr>
        <w:tc>
          <w:tcPr>
            <w:tcW w:w="620" w:type="dxa"/>
            <w:vAlign w:val="bottom"/>
          </w:tcPr>
          <w:p>
            <w:pPr>
              <w:ind w:left="120"/>
              <w:spacing w:after="0"/>
              <w:rPr>
                <w:sz w:val="20"/>
                <w:szCs w:val="20"/>
                <w:color w:val="auto"/>
              </w:rPr>
            </w:pPr>
            <w:r>
              <w:rPr>
                <w:rFonts w:ascii="Arial" w:cs="Arial" w:eastAsia="Arial" w:hAnsi="Arial"/>
                <w:sz w:val="20"/>
                <w:szCs w:val="20"/>
                <w:color w:val="auto"/>
              </w:rPr>
              <w:t>8.4</w:t>
            </w:r>
          </w:p>
        </w:tc>
        <w:tc>
          <w:tcPr>
            <w:tcW w:w="6240" w:type="dxa"/>
            <w:vAlign w:val="bottom"/>
            <w:tcBorders>
              <w:right w:val="single" w:sz="8" w:color="auto"/>
            </w:tcBorders>
          </w:tcPr>
          <w:p>
            <w:pPr>
              <w:ind w:left="120"/>
              <w:spacing w:after="0"/>
              <w:rPr>
                <w:sz w:val="20"/>
                <w:szCs w:val="20"/>
                <w:color w:val="auto"/>
              </w:rPr>
            </w:pPr>
            <w:r>
              <w:rPr>
                <w:rFonts w:ascii="Arial" w:cs="Arial" w:eastAsia="Arial" w:hAnsi="Arial"/>
                <w:sz w:val="20"/>
                <w:szCs w:val="20"/>
                <w:color w:val="auto"/>
              </w:rPr>
              <w:t>Total available funding (item 8.2 + item 8.3)</w:t>
            </w:r>
          </w:p>
        </w:tc>
        <w:tc>
          <w:tcPr>
            <w:tcW w:w="2220" w:type="dxa"/>
            <w:vAlign w:val="bottom"/>
          </w:tcPr>
          <w:p>
            <w:pPr>
              <w:jc w:val="right"/>
              <w:ind w:right="1"/>
              <w:spacing w:after="0"/>
              <w:rPr>
                <w:sz w:val="20"/>
                <w:szCs w:val="20"/>
                <w:color w:val="auto"/>
              </w:rPr>
            </w:pPr>
            <w:r>
              <w:rPr>
                <w:rFonts w:ascii="Arial" w:cs="Arial" w:eastAsia="Arial" w:hAnsi="Arial"/>
                <w:sz w:val="20"/>
                <w:szCs w:val="20"/>
                <w:color w:val="auto"/>
              </w:rPr>
              <w:t>33,652</w:t>
            </w:r>
          </w:p>
        </w:tc>
      </w:tr>
      <w:tr>
        <w:trPr>
          <w:trHeight w:val="30"/>
        </w:trPr>
        <w:tc>
          <w:tcPr>
            <w:tcW w:w="620" w:type="dxa"/>
            <w:vAlign w:val="bottom"/>
          </w:tcPr>
          <w:p>
            <w:pPr>
              <w:spacing w:after="0"/>
              <w:rPr>
                <w:sz w:val="2"/>
                <w:szCs w:val="2"/>
                <w:color w:val="auto"/>
              </w:rPr>
            </w:pPr>
          </w:p>
        </w:tc>
        <w:tc>
          <w:tcPr>
            <w:tcW w:w="6240" w:type="dxa"/>
            <w:vAlign w:val="bottom"/>
            <w:tcBorders>
              <w:right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bl>
    <w:p>
      <w:pPr>
        <w:spacing w:after="0" w:line="196" w:lineRule="exact"/>
        <w:rPr>
          <w:sz w:val="20"/>
          <w:szCs w:val="20"/>
          <w:color w:val="auto"/>
        </w:rPr>
      </w:pPr>
    </w:p>
    <w:tbl>
      <w:tblPr>
        <w:tblLayout w:type="fixed"/>
        <w:tblInd w:w="1100" w:type="dxa"/>
        <w:tblCellMar>
          <w:top w:w="0" w:type="dxa"/>
          <w:left w:w="0" w:type="dxa"/>
          <w:bottom w:w="0" w:type="dxa"/>
          <w:right w:w="0" w:type="dxa"/>
        </w:tblCellMar>
      </w:tblPr>
      <w:tr>
        <w:trPr>
          <w:trHeight w:val="260"/>
        </w:trPr>
        <w:tc>
          <w:tcPr>
            <w:tcW w:w="440" w:type="dxa"/>
            <w:vAlign w:val="bottom"/>
          </w:tcPr>
          <w:p>
            <w:pPr>
              <w:jc w:val="right"/>
              <w:ind w:right="81"/>
              <w:spacing w:after="0"/>
              <w:rPr>
                <w:sz w:val="20"/>
                <w:szCs w:val="20"/>
                <w:color w:val="auto"/>
              </w:rPr>
            </w:pPr>
            <w:r>
              <w:rPr>
                <w:rFonts w:ascii="Arial" w:cs="Arial" w:eastAsia="Arial" w:hAnsi="Arial"/>
                <w:sz w:val="20"/>
                <w:szCs w:val="20"/>
                <w:color w:val="auto"/>
                <w:w w:val="86"/>
              </w:rPr>
              <w:t>8.5</w:t>
            </w:r>
          </w:p>
        </w:tc>
        <w:tc>
          <w:tcPr>
            <w:tcW w:w="6300" w:type="dxa"/>
            <w:vAlign w:val="bottom"/>
            <w:tcBorders>
              <w:right w:val="single" w:sz="8" w:color="auto"/>
            </w:tcBorders>
          </w:tcPr>
          <w:p>
            <w:pPr>
              <w:ind w:left="180"/>
              <w:spacing w:after="0"/>
              <w:rPr>
                <w:sz w:val="20"/>
                <w:szCs w:val="20"/>
                <w:color w:val="auto"/>
              </w:rPr>
            </w:pPr>
            <w:r>
              <w:rPr>
                <w:rFonts w:ascii="Arial" w:cs="Arial" w:eastAsia="Arial" w:hAnsi="Arial"/>
                <w:sz w:val="20"/>
                <w:szCs w:val="20"/>
                <w:b w:val="1"/>
                <w:bCs w:val="1"/>
                <w:color w:val="auto"/>
              </w:rPr>
              <w:t>Estimated quarters of funding available (item 8.4 divided by</w:t>
            </w:r>
          </w:p>
        </w:tc>
        <w:tc>
          <w:tcPr>
            <w:tcW w:w="18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vMerge w:val="restart"/>
          </w:tcPr>
          <w:p>
            <w:pPr>
              <w:jc w:val="right"/>
              <w:ind w:right="1"/>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6300" w:type="dxa"/>
            <w:vAlign w:val="bottom"/>
            <w:tcBorders>
              <w:right w:val="single" w:sz="8" w:color="auto"/>
            </w:tcBorders>
            <w:vMerge w:val="restart"/>
          </w:tcPr>
          <w:p>
            <w:pPr>
              <w:ind w:left="180"/>
              <w:spacing w:after="0"/>
              <w:rPr>
                <w:sz w:val="20"/>
                <w:szCs w:val="20"/>
                <w:color w:val="auto"/>
              </w:rPr>
            </w:pPr>
            <w:r>
              <w:rPr>
                <w:rFonts w:ascii="Arial" w:cs="Arial" w:eastAsia="Arial" w:hAnsi="Arial"/>
                <w:sz w:val="20"/>
                <w:szCs w:val="20"/>
                <w:b w:val="1"/>
                <w:bCs w:val="1"/>
                <w:color w:val="auto"/>
              </w:rPr>
              <w:t>item 8.1)</w:t>
            </w:r>
          </w:p>
        </w:tc>
        <w:tc>
          <w:tcPr>
            <w:tcW w:w="18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40" w:type="dxa"/>
            <w:vAlign w:val="bottom"/>
          </w:tcPr>
          <w:p>
            <w:pPr>
              <w:spacing w:after="0"/>
              <w:rPr>
                <w:sz w:val="11"/>
                <w:szCs w:val="11"/>
                <w:color w:val="auto"/>
              </w:rPr>
            </w:pPr>
          </w:p>
        </w:tc>
        <w:tc>
          <w:tcPr>
            <w:tcW w:w="6300" w:type="dxa"/>
            <w:vAlign w:val="bottom"/>
            <w:tcBorders>
              <w:right w:val="single" w:sz="8" w:color="auto"/>
            </w:tcBorders>
            <w:vMerge w:val="continue"/>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45"/>
        </w:trPr>
        <w:tc>
          <w:tcPr>
            <w:tcW w:w="440" w:type="dxa"/>
            <w:vAlign w:val="bottom"/>
          </w:tcPr>
          <w:p>
            <w:pPr>
              <w:spacing w:after="0"/>
              <w:rPr>
                <w:sz w:val="21"/>
                <w:szCs w:val="21"/>
                <w:color w:val="auto"/>
              </w:rPr>
            </w:pPr>
          </w:p>
        </w:tc>
        <w:tc>
          <w:tcPr>
            <w:tcW w:w="8520" w:type="dxa"/>
            <w:vAlign w:val="bottom"/>
            <w:gridSpan w:val="3"/>
          </w:tcPr>
          <w:p>
            <w:pPr>
              <w:ind w:left="180"/>
              <w:spacing w:after="0"/>
              <w:rPr>
                <w:sz w:val="20"/>
                <w:szCs w:val="20"/>
                <w:color w:val="auto"/>
              </w:rPr>
            </w:pPr>
            <w:r>
              <w:rPr>
                <w:rFonts w:ascii="Arial" w:cs="Arial" w:eastAsia="Arial" w:hAnsi="Arial"/>
                <w:sz w:val="20"/>
                <w:szCs w:val="20"/>
                <w:i w:val="1"/>
                <w:iCs w:val="1"/>
                <w:color w:val="auto"/>
              </w:rPr>
              <w:t>Note: if the entity has reported positive net operating cash flows in item 1.9, answer item 8.5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520" w:type="dxa"/>
            <w:vAlign w:val="bottom"/>
            <w:gridSpan w:val="3"/>
          </w:tcPr>
          <w:p>
            <w:pPr>
              <w:ind w:left="180"/>
              <w:spacing w:after="0" w:line="216" w:lineRule="exact"/>
              <w:rPr>
                <w:sz w:val="20"/>
                <w:szCs w:val="20"/>
                <w:color w:val="auto"/>
              </w:rPr>
            </w:pPr>
            <w:r>
              <w:rPr>
                <w:rFonts w:ascii="Arial" w:cs="Arial" w:eastAsia="Arial" w:hAnsi="Arial"/>
                <w:sz w:val="20"/>
                <w:szCs w:val="20"/>
                <w:i w:val="1"/>
                <w:iCs w:val="1"/>
                <w:color w:val="auto"/>
              </w:rPr>
              <w:t>as “N/A”. Otherwise, a figure for the estimated quarters of funding available must be included</w:t>
            </w:r>
          </w:p>
        </w:tc>
        <w:tc>
          <w:tcPr>
            <w:tcW w:w="0" w:type="dxa"/>
            <w:vAlign w:val="bottom"/>
          </w:tcPr>
          <w:p>
            <w:pPr>
              <w:spacing w:after="0"/>
              <w:rPr>
                <w:sz w:val="1"/>
                <w:szCs w:val="1"/>
                <w:color w:val="auto"/>
              </w:rPr>
            </w:pPr>
          </w:p>
        </w:tc>
      </w:tr>
      <w:tr>
        <w:trPr>
          <w:trHeight w:val="261"/>
        </w:trPr>
        <w:tc>
          <w:tcPr>
            <w:tcW w:w="440" w:type="dxa"/>
            <w:vAlign w:val="bottom"/>
          </w:tcPr>
          <w:p>
            <w:pPr>
              <w:spacing w:after="0"/>
              <w:rPr>
                <w:sz w:val="22"/>
                <w:szCs w:val="22"/>
                <w:color w:val="auto"/>
              </w:rPr>
            </w:pPr>
          </w:p>
        </w:tc>
        <w:tc>
          <w:tcPr>
            <w:tcW w:w="8120" w:type="dxa"/>
            <w:vAlign w:val="bottom"/>
            <w:gridSpan w:val="2"/>
          </w:tcPr>
          <w:p>
            <w:pPr>
              <w:ind w:left="180"/>
              <w:spacing w:after="0"/>
              <w:rPr>
                <w:sz w:val="20"/>
                <w:szCs w:val="20"/>
                <w:color w:val="auto"/>
              </w:rPr>
            </w:pPr>
            <w:r>
              <w:rPr>
                <w:rFonts w:ascii="Arial" w:cs="Arial" w:eastAsia="Arial" w:hAnsi="Arial"/>
                <w:sz w:val="20"/>
                <w:szCs w:val="20"/>
                <w:i w:val="1"/>
                <w:iCs w:val="1"/>
                <w:color w:val="auto"/>
              </w:rPr>
              <w:t>in item 8.5.</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4"/>
        </w:trPr>
        <w:tc>
          <w:tcPr>
            <w:tcW w:w="440" w:type="dxa"/>
            <w:vAlign w:val="bottom"/>
          </w:tcPr>
          <w:p>
            <w:pPr>
              <w:jc w:val="right"/>
              <w:ind w:right="81"/>
              <w:spacing w:after="0"/>
              <w:rPr>
                <w:sz w:val="20"/>
                <w:szCs w:val="20"/>
                <w:color w:val="auto"/>
              </w:rPr>
            </w:pPr>
            <w:r>
              <w:rPr>
                <w:rFonts w:ascii="Arial" w:cs="Arial" w:eastAsia="Arial" w:hAnsi="Arial"/>
                <w:sz w:val="20"/>
                <w:szCs w:val="20"/>
                <w:color w:val="auto"/>
                <w:w w:val="86"/>
              </w:rPr>
              <w:t>8.6</w:t>
            </w:r>
          </w:p>
        </w:tc>
        <w:tc>
          <w:tcPr>
            <w:tcW w:w="8120" w:type="dxa"/>
            <w:vAlign w:val="bottom"/>
            <w:gridSpan w:val="2"/>
          </w:tcPr>
          <w:p>
            <w:pPr>
              <w:ind w:left="180"/>
              <w:spacing w:after="0"/>
              <w:rPr>
                <w:sz w:val="20"/>
                <w:szCs w:val="20"/>
                <w:color w:val="auto"/>
              </w:rPr>
            </w:pPr>
            <w:r>
              <w:rPr>
                <w:rFonts w:ascii="Arial" w:cs="Arial" w:eastAsia="Arial" w:hAnsi="Arial"/>
                <w:sz w:val="20"/>
                <w:szCs w:val="20"/>
                <w:color w:val="auto"/>
              </w:rPr>
              <w:t>If item 8.5 is less than 2 quarters, please provide answers to the following questions: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440" w:type="dxa"/>
            <w:vAlign w:val="bottom"/>
          </w:tcPr>
          <w:p>
            <w:pPr>
              <w:spacing w:after="0"/>
              <w:rPr>
                <w:sz w:val="24"/>
                <w:szCs w:val="24"/>
                <w:color w:val="auto"/>
              </w:rPr>
            </w:pPr>
          </w:p>
        </w:tc>
        <w:tc>
          <w:tcPr>
            <w:tcW w:w="8120" w:type="dxa"/>
            <w:vAlign w:val="bottom"/>
            <w:gridSpan w:val="2"/>
          </w:tcPr>
          <w:p>
            <w:pPr>
              <w:ind w:left="180"/>
              <w:spacing w:after="0"/>
              <w:rPr>
                <w:sz w:val="20"/>
                <w:szCs w:val="20"/>
                <w:color w:val="auto"/>
              </w:rPr>
            </w:pPr>
            <w:r>
              <w:rPr>
                <w:rFonts w:ascii="Arial" w:cs="Arial" w:eastAsia="Arial" w:hAnsi="Arial"/>
                <w:sz w:val="20"/>
                <w:szCs w:val="20"/>
                <w:color w:val="auto"/>
              </w:rPr>
              <w:t>8.6.1   Does the entity expect that it will continue to have the current level of net operating</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440" w:type="dxa"/>
            <w:vAlign w:val="bottom"/>
          </w:tcPr>
          <w:p>
            <w:pPr>
              <w:spacing w:after="0"/>
              <w:rPr>
                <w:sz w:val="22"/>
                <w:szCs w:val="22"/>
                <w:color w:val="auto"/>
              </w:rPr>
            </w:pPr>
          </w:p>
        </w:tc>
        <w:tc>
          <w:tcPr>
            <w:tcW w:w="8120" w:type="dxa"/>
            <w:vAlign w:val="bottom"/>
            <w:gridSpan w:val="2"/>
          </w:tcPr>
          <w:p>
            <w:pPr>
              <w:ind w:left="820"/>
              <w:spacing w:after="0"/>
              <w:rPr>
                <w:sz w:val="20"/>
                <w:szCs w:val="20"/>
                <w:color w:val="auto"/>
              </w:rPr>
            </w:pPr>
            <w:r>
              <w:rPr>
                <w:rFonts w:ascii="Arial" w:cs="Arial" w:eastAsia="Arial" w:hAnsi="Arial"/>
                <w:sz w:val="20"/>
                <w:szCs w:val="20"/>
                <w:color w:val="auto"/>
              </w:rPr>
              <w:t>cash flows for the time being and, if not, why not?</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Answer: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1350645</wp:posOffset>
            </wp:positionV>
            <wp:extent cx="576072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60720" cy="2540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1522095</wp:posOffset>
            </wp:positionV>
            <wp:extent cx="462915" cy="4286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629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640" w:type="dxa"/>
            <w:vAlign w:val="bottom"/>
          </w:tcPr>
          <w:p>
            <w:pPr>
              <w:ind w:left="980"/>
              <w:spacing w:after="0"/>
              <w:rPr>
                <w:sz w:val="20"/>
                <w:szCs w:val="20"/>
                <w:color w:val="auto"/>
              </w:rPr>
            </w:pPr>
            <w:r>
              <w:rPr>
                <w:rFonts w:ascii="Arial" w:cs="Arial" w:eastAsia="Arial" w:hAnsi="Arial"/>
                <w:sz w:val="20"/>
                <w:szCs w:val="20"/>
                <w:color w:val="373A36"/>
              </w:rPr>
              <w:t>1029 West 19th Street, Chattanooga, Tennessee, USA, 37408 | novonixgroup.com</w:t>
            </w:r>
          </w:p>
        </w:tc>
        <w:tc>
          <w:tcPr>
            <w:tcW w:w="2400" w:type="dxa"/>
            <w:vAlign w:val="bottom"/>
          </w:tcPr>
          <w:p>
            <w:pPr>
              <w:jc w:val="right"/>
              <w:ind w:right="1681"/>
              <w:spacing w:after="0"/>
              <w:rPr>
                <w:sz w:val="20"/>
                <w:szCs w:val="20"/>
                <w:color w:val="auto"/>
              </w:rPr>
            </w:pPr>
            <w:r>
              <w:rPr>
                <w:rFonts w:ascii="Arial" w:cs="Arial" w:eastAsia="Arial" w:hAnsi="Arial"/>
                <w:sz w:val="20"/>
                <w:szCs w:val="20"/>
                <w:color w:val="auto"/>
              </w:rPr>
              <w:t>13</w:t>
            </w:r>
          </w:p>
        </w:tc>
      </w:tr>
      <w:tr>
        <w:trPr>
          <w:trHeight w:val="1171"/>
        </w:trPr>
        <w:tc>
          <w:tcPr>
            <w:tcW w:w="86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16" w:name="page17"/>
    <w:bookmarkEnd w:id="16"/>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260350</wp:posOffset>
            </wp:positionV>
            <wp:extent cx="6026150" cy="26403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26150" cy="2640330"/>
                    </a:xfrm>
                    <a:prstGeom prst="rect">
                      <a:avLst/>
                    </a:prstGeom>
                    <a:noFill/>
                  </pic:spPr>
                </pic:pic>
              </a:graphicData>
            </a:graphic>
          </wp:anchor>
        </w:drawing>
      </w:r>
    </w:p>
    <w:p>
      <w:pPr>
        <w:ind w:left="2360" w:right="1320" w:hanging="637"/>
        <w:spacing w:after="0" w:line="248" w:lineRule="auto"/>
        <w:tabs>
          <w:tab w:leader="none" w:pos="2340" w:val="left"/>
        </w:tabs>
        <w:rPr>
          <w:sz w:val="20"/>
          <w:szCs w:val="20"/>
          <w:color w:val="auto"/>
        </w:rPr>
      </w:pPr>
      <w:r>
        <w:rPr>
          <w:rFonts w:ascii="Arial" w:cs="Arial" w:eastAsia="Arial" w:hAnsi="Arial"/>
          <w:sz w:val="20"/>
          <w:szCs w:val="20"/>
          <w:color w:val="auto"/>
        </w:rPr>
        <w:t>8.6.2</w:t>
        <w:tab/>
        <w:t>Has the entity taken any steps, or does it propose to take any steps, to raise further cash to fund its operations and, if so, what are those steps and how likely does it believe that they will be successful?</w:t>
      </w:r>
    </w:p>
    <w:p>
      <w:pPr>
        <w:spacing w:after="0" w:line="70"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Answer: N/A</w:t>
      </w:r>
    </w:p>
    <w:p>
      <w:pPr>
        <w:spacing w:after="0" w:line="378" w:lineRule="exact"/>
        <w:rPr>
          <w:sz w:val="20"/>
          <w:szCs w:val="20"/>
          <w:color w:val="auto"/>
        </w:rPr>
      </w:pPr>
    </w:p>
    <w:p>
      <w:pPr>
        <w:ind w:left="2360" w:right="1280" w:hanging="637"/>
        <w:spacing w:after="0" w:line="271" w:lineRule="auto"/>
        <w:tabs>
          <w:tab w:leader="none" w:pos="2340" w:val="left"/>
        </w:tabs>
        <w:rPr>
          <w:sz w:val="20"/>
          <w:szCs w:val="20"/>
          <w:color w:val="auto"/>
        </w:rPr>
      </w:pPr>
      <w:r>
        <w:rPr>
          <w:rFonts w:ascii="Arial" w:cs="Arial" w:eastAsia="Arial" w:hAnsi="Arial"/>
          <w:sz w:val="20"/>
          <w:szCs w:val="20"/>
          <w:color w:val="auto"/>
        </w:rPr>
        <w:t>8.6.3</w:t>
        <w:tab/>
        <w:t>Does the entity expect to be able to continue its operations and to meet its business objectives and, if so, on what basis?</w:t>
      </w:r>
    </w:p>
    <w:p>
      <w:pPr>
        <w:spacing w:after="0" w:line="48"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Answer: N/A</w:t>
      </w:r>
    </w:p>
    <w:p>
      <w:pPr>
        <w:spacing w:after="0" w:line="378" w:lineRule="exact"/>
        <w:rPr>
          <w:sz w:val="20"/>
          <w:szCs w:val="20"/>
          <w:color w:val="auto"/>
        </w:rPr>
      </w:pPr>
    </w:p>
    <w:p>
      <w:pPr>
        <w:ind w:left="2300" w:right="1560" w:hanging="582"/>
        <w:spacing w:after="0" w:line="257" w:lineRule="auto"/>
        <w:rPr>
          <w:sz w:val="20"/>
          <w:szCs w:val="20"/>
          <w:color w:val="auto"/>
        </w:rPr>
      </w:pPr>
      <w:r>
        <w:rPr>
          <w:rFonts w:ascii="Arial" w:cs="Arial" w:eastAsia="Arial" w:hAnsi="Arial"/>
          <w:sz w:val="20"/>
          <w:szCs w:val="20"/>
          <w:i w:val="1"/>
          <w:iCs w:val="1"/>
          <w:color w:val="auto"/>
        </w:rPr>
        <w:t>Note: where item 8.5 is less than 2 quarters, all of questions 8.6.1, 8.6.2 and 8.6.3 above must be answered.</w:t>
      </w:r>
    </w:p>
    <w:p>
      <w:pPr>
        <w:spacing w:after="0" w:line="311" w:lineRule="exact"/>
        <w:rPr>
          <w:sz w:val="20"/>
          <w:szCs w:val="20"/>
          <w:color w:val="auto"/>
        </w:rPr>
      </w:pPr>
    </w:p>
    <w:p>
      <w:pPr>
        <w:ind w:left="980"/>
        <w:spacing w:after="0"/>
        <w:rPr>
          <w:sz w:val="20"/>
          <w:szCs w:val="20"/>
          <w:color w:val="auto"/>
        </w:rPr>
      </w:pPr>
      <w:r>
        <w:rPr>
          <w:rFonts w:ascii="Arial" w:cs="Arial" w:eastAsia="Arial" w:hAnsi="Arial"/>
          <w:sz w:val="22"/>
          <w:szCs w:val="22"/>
          <w:b w:val="1"/>
          <w:bCs w:val="1"/>
          <w:color w:val="auto"/>
        </w:rPr>
        <w:t>Compliance statement</w:t>
      </w:r>
    </w:p>
    <w:p>
      <w:pPr>
        <w:spacing w:after="0" w:line="105" w:lineRule="exact"/>
        <w:rPr>
          <w:sz w:val="20"/>
          <w:szCs w:val="20"/>
          <w:color w:val="auto"/>
        </w:rPr>
      </w:pPr>
    </w:p>
    <w:p>
      <w:pPr>
        <w:ind w:left="1620" w:right="1380" w:hanging="632"/>
        <w:spacing w:after="0" w:line="257" w:lineRule="auto"/>
        <w:tabs>
          <w:tab w:leader="none" w:pos="1342" w:val="left"/>
        </w:tabs>
        <w:numPr>
          <w:ilvl w:val="0"/>
          <w:numId w:val="5"/>
        </w:numPr>
        <w:rPr>
          <w:rFonts w:ascii="Arial" w:cs="Arial" w:eastAsia="Arial" w:hAnsi="Arial"/>
          <w:sz w:val="20"/>
          <w:szCs w:val="20"/>
          <w:color w:val="auto"/>
        </w:rPr>
      </w:pPr>
      <w:r>
        <w:rPr>
          <w:rFonts w:ascii="Arial" w:cs="Arial" w:eastAsia="Arial" w:hAnsi="Arial"/>
          <w:sz w:val="20"/>
          <w:szCs w:val="20"/>
          <w:color w:val="auto"/>
        </w:rPr>
        <w:t>This statement has been prepared in accordance with accounting standards and policies which comply with Listing Rule 19.11A.</w:t>
      </w:r>
    </w:p>
    <w:p>
      <w:pPr>
        <w:spacing w:after="0" w:line="47" w:lineRule="exact"/>
        <w:rPr>
          <w:sz w:val="20"/>
          <w:szCs w:val="20"/>
          <w:color w:val="auto"/>
        </w:rPr>
      </w:pPr>
    </w:p>
    <w:p>
      <w:pPr>
        <w:ind w:left="1340" w:hanging="352"/>
        <w:spacing w:after="0"/>
        <w:tabs>
          <w:tab w:leader="none" w:pos="134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This statement gives a true and fair view of the matters disclosed.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80"/>
        <w:spacing w:after="0"/>
        <w:tabs>
          <w:tab w:leader="none" w:pos="204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30 October 2026</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20"/>
          <w:szCs w:val="20"/>
          <w:color w:val="auto"/>
        </w:rPr>
        <w:t>Authorised by:</w:t>
      </w:r>
      <w:r>
        <w:rPr>
          <w:sz w:val="20"/>
          <w:szCs w:val="20"/>
          <w:color w:val="auto"/>
        </w:rPr>
        <w:tab/>
      </w:r>
      <w:r>
        <w:rPr>
          <w:rFonts w:ascii="Arial" w:cs="Arial" w:eastAsia="Arial" w:hAnsi="Arial"/>
          <w:sz w:val="19"/>
          <w:szCs w:val="19"/>
          <w:color w:val="auto"/>
        </w:rPr>
        <w:t>By the Chairman of the Board</w:t>
      </w:r>
    </w:p>
    <w:p>
      <w:pPr>
        <w:spacing w:after="0" w:line="135" w:lineRule="exact"/>
        <w:rPr>
          <w:sz w:val="20"/>
          <w:szCs w:val="20"/>
          <w:color w:val="auto"/>
        </w:rPr>
      </w:pPr>
    </w:p>
    <w:p>
      <w:pPr>
        <w:ind w:left="2260"/>
        <w:spacing w:after="0"/>
        <w:rPr>
          <w:sz w:val="20"/>
          <w:szCs w:val="20"/>
          <w:color w:val="auto"/>
        </w:rPr>
      </w:pPr>
      <w:r>
        <w:rPr>
          <w:rFonts w:ascii="Arial" w:cs="Arial" w:eastAsia="Arial" w:hAnsi="Arial"/>
          <w:sz w:val="20"/>
          <w:szCs w:val="20"/>
          <w:color w:val="auto"/>
        </w:rPr>
        <w:t>(Name of body or officer authorising release – see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2739390</wp:posOffset>
            </wp:positionV>
            <wp:extent cx="576072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60720" cy="25400"/>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2910840</wp:posOffset>
            </wp:positionV>
            <wp:extent cx="462915" cy="4286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629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640" w:type="dxa"/>
            <w:vAlign w:val="bottom"/>
          </w:tcPr>
          <w:p>
            <w:pPr>
              <w:ind w:left="980"/>
              <w:spacing w:after="0"/>
              <w:rPr>
                <w:sz w:val="20"/>
                <w:szCs w:val="20"/>
                <w:color w:val="auto"/>
              </w:rPr>
            </w:pPr>
            <w:r>
              <w:rPr>
                <w:rFonts w:ascii="Arial" w:cs="Arial" w:eastAsia="Arial" w:hAnsi="Arial"/>
                <w:sz w:val="20"/>
                <w:szCs w:val="20"/>
                <w:color w:val="373A36"/>
              </w:rPr>
              <w:t>1029 West 19th Street, Chattanooga, Tennessee, USA, 37408 | novonixgroup.com</w:t>
            </w:r>
          </w:p>
        </w:tc>
        <w:tc>
          <w:tcPr>
            <w:tcW w:w="2400" w:type="dxa"/>
            <w:vAlign w:val="bottom"/>
          </w:tcPr>
          <w:p>
            <w:pPr>
              <w:jc w:val="right"/>
              <w:ind w:right="1681"/>
              <w:spacing w:after="0"/>
              <w:rPr>
                <w:sz w:val="20"/>
                <w:szCs w:val="20"/>
                <w:color w:val="auto"/>
              </w:rPr>
            </w:pPr>
            <w:r>
              <w:rPr>
                <w:rFonts w:ascii="Arial" w:cs="Arial" w:eastAsia="Arial" w:hAnsi="Arial"/>
                <w:sz w:val="20"/>
                <w:szCs w:val="20"/>
                <w:color w:val="auto"/>
              </w:rPr>
              <w:t>14</w:t>
            </w:r>
          </w:p>
        </w:tc>
      </w:tr>
      <w:tr>
        <w:trPr>
          <w:trHeight w:val="1171"/>
        </w:trPr>
        <w:tc>
          <w:tcPr>
            <w:tcW w:w="86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17" w:name="page18"/>
    <w:bookmarkEnd w:id="17"/>
    <w:p>
      <w:pPr>
        <w:ind w:left="98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628015</wp:posOffset>
            </wp:positionH>
            <wp:positionV relativeFrom="page">
              <wp:posOffset>260350</wp:posOffset>
            </wp:positionV>
            <wp:extent cx="2374265" cy="8058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2374265" cy="805815"/>
                    </a:xfrm>
                    <a:prstGeom prst="rect">
                      <a:avLst/>
                    </a:prstGeom>
                    <a:noFill/>
                  </pic:spPr>
                </pic:pic>
              </a:graphicData>
            </a:graphic>
          </wp:anchor>
        </w:drawing>
        <w:t>Notes</w:t>
      </w:r>
    </w:p>
    <w:p>
      <w:pPr>
        <w:spacing w:after="0" w:line="145" w:lineRule="exact"/>
        <w:rPr>
          <w:sz w:val="20"/>
          <w:szCs w:val="20"/>
          <w:color w:val="auto"/>
        </w:rPr>
      </w:pPr>
    </w:p>
    <w:p>
      <w:pPr>
        <w:ind w:left="1500" w:right="1120" w:hanging="512"/>
        <w:spacing w:after="0" w:line="252" w:lineRule="auto"/>
        <w:tabs>
          <w:tab w:leader="none" w:pos="1350" w:val="left"/>
        </w:tabs>
        <w:numPr>
          <w:ilvl w:val="0"/>
          <w:numId w:val="7"/>
        </w:numPr>
        <w:rPr>
          <w:rFonts w:ascii="Arial" w:cs="Arial" w:eastAsia="Arial" w:hAnsi="Arial"/>
          <w:sz w:val="19"/>
          <w:szCs w:val="19"/>
          <w:color w:val="auto"/>
        </w:rPr>
      </w:pPr>
      <w:r>
        <w:rPr>
          <w:rFonts w:ascii="Arial" w:cs="Arial" w:eastAsia="Arial" w:hAnsi="Arial"/>
          <w:sz w:val="19"/>
          <w:szCs w:val="19"/>
          <w:color w:val="auto"/>
        </w:rPr>
        <w:t>This quarterly cash flow report and the accompanying activity report provide a basis for informing the market about the entity’s activities for the past quarter, how they have been financed and the effect this has had on its cash position. An entity that wishes to disclose additional information over and above the minimum required under the Listing Rules is encouraged to do so.</w:t>
      </w:r>
    </w:p>
    <w:p>
      <w:pPr>
        <w:spacing w:after="0" w:line="54" w:lineRule="exact"/>
        <w:rPr>
          <w:rFonts w:ascii="Arial" w:cs="Arial" w:eastAsia="Arial" w:hAnsi="Arial"/>
          <w:sz w:val="19"/>
          <w:szCs w:val="19"/>
          <w:color w:val="auto"/>
        </w:rPr>
      </w:pPr>
    </w:p>
    <w:p>
      <w:pPr>
        <w:ind w:left="1500" w:right="1000" w:hanging="512"/>
        <w:spacing w:after="0" w:line="234" w:lineRule="auto"/>
        <w:tabs>
          <w:tab w:leader="none" w:pos="135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If this quarterly cash flow report has been prepared in accordance with Australian Accounting Standards, the definitions in, and provisions of, </w:t>
      </w:r>
      <w:r>
        <w:rPr>
          <w:rFonts w:ascii="Arial" w:cs="Arial" w:eastAsia="Arial" w:hAnsi="Arial"/>
          <w:sz w:val="20"/>
          <w:szCs w:val="20"/>
          <w:i w:val="1"/>
          <w:iCs w:val="1"/>
          <w:color w:val="auto"/>
        </w:rPr>
        <w:t>AASB 107: Statement of Cash Flows</w:t>
      </w:r>
      <w:r>
        <w:rPr>
          <w:rFonts w:ascii="Arial" w:cs="Arial" w:eastAsia="Arial" w:hAnsi="Arial"/>
          <w:sz w:val="20"/>
          <w:szCs w:val="20"/>
          <w:color w:val="auto"/>
        </w:rPr>
        <w:t xml:space="preserve"> apply to this report. If this quarterly cash flow report has been prepared in accordance with other accounting standards agreed by ASX pursuant to Listing Rule 19.11A, the corresponding equivalent standard applies to this report.</w:t>
      </w:r>
    </w:p>
    <w:p>
      <w:pPr>
        <w:spacing w:after="0" w:line="66" w:lineRule="exact"/>
        <w:rPr>
          <w:rFonts w:ascii="Arial" w:cs="Arial" w:eastAsia="Arial" w:hAnsi="Arial"/>
          <w:sz w:val="20"/>
          <w:szCs w:val="20"/>
          <w:color w:val="auto"/>
        </w:rPr>
      </w:pPr>
    </w:p>
    <w:p>
      <w:pPr>
        <w:ind w:left="1500" w:right="1300" w:hanging="512"/>
        <w:spacing w:after="0" w:line="257" w:lineRule="auto"/>
        <w:tabs>
          <w:tab w:leader="none" w:pos="1350" w:val="left"/>
        </w:tabs>
        <w:numPr>
          <w:ilvl w:val="0"/>
          <w:numId w:val="7"/>
        </w:numPr>
        <w:rPr>
          <w:rFonts w:ascii="Arial" w:cs="Arial" w:eastAsia="Arial" w:hAnsi="Arial"/>
          <w:sz w:val="20"/>
          <w:szCs w:val="20"/>
          <w:color w:val="auto"/>
        </w:rPr>
      </w:pPr>
      <w:r>
        <w:rPr>
          <w:rFonts w:ascii="Arial" w:cs="Arial" w:eastAsia="Arial" w:hAnsi="Arial"/>
          <w:sz w:val="20"/>
          <w:szCs w:val="20"/>
          <w:color w:val="auto"/>
        </w:rPr>
        <w:t>Dividends received may be classified either as cash flows from operating activities or cash flows from investing activities, depending on the accounting policy of the entity.</w:t>
      </w:r>
    </w:p>
    <w:p>
      <w:pPr>
        <w:spacing w:after="0" w:line="47" w:lineRule="exact"/>
        <w:rPr>
          <w:rFonts w:ascii="Arial" w:cs="Arial" w:eastAsia="Arial" w:hAnsi="Arial"/>
          <w:sz w:val="20"/>
          <w:szCs w:val="20"/>
          <w:color w:val="auto"/>
        </w:rPr>
      </w:pPr>
    </w:p>
    <w:p>
      <w:pPr>
        <w:jc w:val="both"/>
        <w:ind w:left="1500" w:right="1200" w:hanging="512"/>
        <w:spacing w:after="0" w:line="234" w:lineRule="auto"/>
        <w:tabs>
          <w:tab w:leader="none" w:pos="1350" w:val="left"/>
        </w:tabs>
        <w:numPr>
          <w:ilvl w:val="0"/>
          <w:numId w:val="7"/>
        </w:numPr>
        <w:rPr>
          <w:rFonts w:ascii="Arial" w:cs="Arial" w:eastAsia="Arial" w:hAnsi="Arial"/>
          <w:sz w:val="20"/>
          <w:szCs w:val="20"/>
          <w:color w:val="auto"/>
        </w:rPr>
      </w:pPr>
      <w:r>
        <w:rPr>
          <w:rFonts w:ascii="Arial" w:cs="Arial" w:eastAsia="Arial" w:hAnsi="Arial"/>
          <w:sz w:val="20"/>
          <w:szCs w:val="20"/>
          <w:color w:val="auto"/>
        </w:rPr>
        <w:t>If this report has been authorised for release to the market by your board of directors, you can insert here: “By the board”. If it has been authorised for release to the market by a committee of your board of directors, you can insert here: “By the [</w:t>
      </w:r>
      <w:r>
        <w:rPr>
          <w:rFonts w:ascii="Arial" w:cs="Arial" w:eastAsia="Arial" w:hAnsi="Arial"/>
          <w:sz w:val="20"/>
          <w:szCs w:val="20"/>
          <w:i w:val="1"/>
          <w:iCs w:val="1"/>
          <w:color w:val="auto"/>
        </w:rPr>
        <w:t>name of board committee</w:t>
      </w:r>
      <w:r>
        <w:rPr>
          <w:rFonts w:ascii="Arial" w:cs="Arial" w:eastAsia="Arial" w:hAnsi="Arial"/>
          <w:sz w:val="20"/>
          <w:szCs w:val="20"/>
          <w:color w:val="auto"/>
        </w:rPr>
        <w:t xml:space="preserve"> – </w:t>
      </w:r>
      <w:r>
        <w:rPr>
          <w:rFonts w:ascii="Arial" w:cs="Arial" w:eastAsia="Arial" w:hAnsi="Arial"/>
          <w:sz w:val="20"/>
          <w:szCs w:val="20"/>
          <w:i w:val="1"/>
          <w:iCs w:val="1"/>
          <w:color w:val="auto"/>
        </w:rPr>
        <w:t>e.g. Audit and</w:t>
      </w:r>
      <w:r>
        <w:rPr>
          <w:rFonts w:ascii="Arial" w:cs="Arial" w:eastAsia="Arial" w:hAnsi="Arial"/>
          <w:sz w:val="20"/>
          <w:szCs w:val="20"/>
          <w:color w:val="auto"/>
        </w:rPr>
        <w:t xml:space="preserve"> </w:t>
      </w:r>
      <w:r>
        <w:rPr>
          <w:rFonts w:ascii="Arial" w:cs="Arial" w:eastAsia="Arial" w:hAnsi="Arial"/>
          <w:sz w:val="20"/>
          <w:szCs w:val="20"/>
          <w:i w:val="1"/>
          <w:iCs w:val="1"/>
          <w:color w:val="auto"/>
        </w:rPr>
        <w:t>Risk Committee</w:t>
      </w:r>
      <w:r>
        <w:rPr>
          <w:rFonts w:ascii="Arial" w:cs="Arial" w:eastAsia="Arial" w:hAnsi="Arial"/>
          <w:sz w:val="20"/>
          <w:szCs w:val="20"/>
          <w:color w:val="auto"/>
        </w:rPr>
        <w:t>]”. If it has been authorised for release to the market by a disclosure committee,</w:t>
      </w:r>
      <w:r>
        <w:rPr>
          <w:rFonts w:ascii="Arial" w:cs="Arial" w:eastAsia="Arial" w:hAnsi="Arial"/>
          <w:sz w:val="20"/>
          <w:szCs w:val="20"/>
          <w:i w:val="1"/>
          <w:iCs w:val="1"/>
          <w:color w:val="auto"/>
        </w:rPr>
        <w:t xml:space="preserve"> </w:t>
      </w:r>
      <w:r>
        <w:rPr>
          <w:rFonts w:ascii="Arial" w:cs="Arial" w:eastAsia="Arial" w:hAnsi="Arial"/>
          <w:sz w:val="20"/>
          <w:szCs w:val="20"/>
          <w:color w:val="auto"/>
        </w:rPr>
        <w:t>you can insert here: “By the Disclosure Committee”.</w:t>
      </w:r>
    </w:p>
    <w:p>
      <w:pPr>
        <w:spacing w:after="0" w:line="66" w:lineRule="exact"/>
        <w:rPr>
          <w:rFonts w:ascii="Arial" w:cs="Arial" w:eastAsia="Arial" w:hAnsi="Arial"/>
          <w:sz w:val="20"/>
          <w:szCs w:val="20"/>
          <w:color w:val="auto"/>
        </w:rPr>
      </w:pPr>
    </w:p>
    <w:p>
      <w:pPr>
        <w:ind w:left="1500" w:right="1100" w:hanging="512"/>
        <w:spacing w:after="0" w:line="231" w:lineRule="auto"/>
        <w:tabs>
          <w:tab w:leader="none" w:pos="135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If this report has been authorised for release to the market by your board of directors and you wish to hold yourself out as complying with recommendation 4.2 of the ASX Corporate Governance Council’s </w:t>
      </w:r>
      <w:r>
        <w:rPr>
          <w:rFonts w:ascii="Arial" w:cs="Arial" w:eastAsia="Arial" w:hAnsi="Arial"/>
          <w:sz w:val="20"/>
          <w:szCs w:val="20"/>
          <w:i w:val="1"/>
          <w:iCs w:val="1"/>
          <w:color w:val="auto"/>
        </w:rPr>
        <w:t>Corporate Governance Principles and Recommendations</w:t>
      </w:r>
      <w:r>
        <w:rPr>
          <w:rFonts w:ascii="Arial" w:cs="Arial" w:eastAsia="Arial" w:hAnsi="Arial"/>
          <w:sz w:val="20"/>
          <w:szCs w:val="20"/>
          <w:color w:val="auto"/>
        </w:rPr>
        <w:t>, the board should have received a declaration from its CEO and CFO that, in their opinion, the financial records of the entity have been properly maintained, that this report complies with the appropriate accounting standards and gives a true and fair view of the cash flows of the entity, and that their opinion has been formed on the basis of a sound system of risk management and internal control which is operating effectively.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3261360</wp:posOffset>
            </wp:positionV>
            <wp:extent cx="576072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60720" cy="26035"/>
                    </a:xfrm>
                    <a:prstGeom prst="rect">
                      <a:avLst/>
                    </a:prstGeom>
                    <a:noFill/>
                  </pic:spPr>
                </pic:pic>
              </a:graphicData>
            </a:graphic>
          </wp:anchor>
        </w:drawing>
        <w:drawing>
          <wp:anchor simplePos="0" relativeHeight="251657728" behindDoc="1" locked="0" layoutInCell="0" allowOverlap="1">
            <wp:simplePos x="0" y="0"/>
            <wp:positionH relativeFrom="column">
              <wp:posOffset>5925185</wp:posOffset>
            </wp:positionH>
            <wp:positionV relativeFrom="paragraph">
              <wp:posOffset>3432810</wp:posOffset>
            </wp:positionV>
            <wp:extent cx="462915" cy="4286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6291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640" w:type="dxa"/>
            <w:vAlign w:val="bottom"/>
          </w:tcPr>
          <w:p>
            <w:pPr>
              <w:ind w:left="980"/>
              <w:spacing w:after="0"/>
              <w:rPr>
                <w:sz w:val="20"/>
                <w:szCs w:val="20"/>
                <w:color w:val="auto"/>
              </w:rPr>
            </w:pPr>
            <w:r>
              <w:rPr>
                <w:rFonts w:ascii="Arial" w:cs="Arial" w:eastAsia="Arial" w:hAnsi="Arial"/>
                <w:sz w:val="20"/>
                <w:szCs w:val="20"/>
                <w:color w:val="373A36"/>
              </w:rPr>
              <w:t>1029 West 19th Street, Chattanooga, Tennessee, USA, 37408 | novonixgroup.com</w:t>
            </w:r>
          </w:p>
        </w:tc>
        <w:tc>
          <w:tcPr>
            <w:tcW w:w="2400" w:type="dxa"/>
            <w:vAlign w:val="bottom"/>
          </w:tcPr>
          <w:p>
            <w:pPr>
              <w:jc w:val="right"/>
              <w:ind w:right="1681"/>
              <w:spacing w:after="0"/>
              <w:rPr>
                <w:sz w:val="20"/>
                <w:szCs w:val="20"/>
                <w:color w:val="auto"/>
              </w:rPr>
            </w:pPr>
            <w:r>
              <w:rPr>
                <w:rFonts w:ascii="Arial" w:cs="Arial" w:eastAsia="Arial" w:hAnsi="Arial"/>
                <w:sz w:val="20"/>
                <w:szCs w:val="20"/>
                <w:color w:val="auto"/>
              </w:rPr>
              <w:t>15</w:t>
            </w:r>
          </w:p>
        </w:tc>
      </w:tr>
      <w:tr>
        <w:trPr>
          <w:trHeight w:val="1172"/>
        </w:trPr>
        <w:tc>
          <w:tcPr>
            <w:tcW w:w="86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07" w:right="43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7089140" cy="90525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89140" cy="905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640" w:type="dxa"/>
            <w:vAlign w:val="bottom"/>
          </w:tcPr>
          <w:p>
            <w:pPr>
              <w:ind w:left="980"/>
              <w:spacing w:after="0"/>
              <w:rPr>
                <w:sz w:val="20"/>
                <w:szCs w:val="20"/>
                <w:color w:val="auto"/>
              </w:rPr>
            </w:pPr>
            <w:r>
              <w:rPr>
                <w:rFonts w:ascii="Arial" w:cs="Arial" w:eastAsia="Arial" w:hAnsi="Arial"/>
                <w:sz w:val="20"/>
                <w:szCs w:val="20"/>
                <w:color w:val="373A36"/>
              </w:rPr>
              <w:t>1029 West 19th Street, Chattanooga, Tennessee, USA, 37408 | novonixgroup.com</w:t>
            </w:r>
          </w:p>
        </w:tc>
        <w:tc>
          <w:tcPr>
            <w:tcW w:w="2400" w:type="dxa"/>
            <w:vAlign w:val="bottom"/>
          </w:tcPr>
          <w:p>
            <w:pPr>
              <w:jc w:val="right"/>
              <w:ind w:right="1681"/>
              <w:spacing w:after="0"/>
              <w:rPr>
                <w:sz w:val="20"/>
                <w:szCs w:val="20"/>
                <w:color w:val="auto"/>
              </w:rPr>
            </w:pPr>
            <w:r>
              <w:rPr>
                <w:rFonts w:ascii="Arial" w:cs="Arial" w:eastAsia="Arial" w:hAnsi="Arial"/>
                <w:sz w:val="20"/>
                <w:szCs w:val="20"/>
                <w:color w:val="auto"/>
              </w:rPr>
              <w:t>16</w:t>
            </w:r>
          </w:p>
        </w:tc>
      </w:tr>
      <w:tr>
        <w:trPr>
          <w:trHeight w:val="1172"/>
        </w:trPr>
        <w:tc>
          <w:tcPr>
            <w:tcW w:w="86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8001635</wp:posOffset>
            </wp:positionV>
            <wp:extent cx="576072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60720" cy="26035"/>
                    </a:xfrm>
                    <a:prstGeom prst="rect">
                      <a:avLst/>
                    </a:prstGeom>
                    <a:noFill/>
                  </pic:spPr>
                </pic:pic>
              </a:graphicData>
            </a:graphic>
          </wp:anchor>
        </w:drawing>
        <w:drawing>
          <wp:anchor simplePos="0" relativeHeight="251657728" behindDoc="1" locked="0" layoutInCell="0" allowOverlap="1">
            <wp:simplePos x="0" y="0"/>
            <wp:positionH relativeFrom="page">
              <wp:posOffset>6191885</wp:posOffset>
            </wp:positionH>
            <wp:positionV relativeFrom="page">
              <wp:posOffset>8172450</wp:posOffset>
            </wp:positionV>
            <wp:extent cx="462915" cy="4286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462915" cy="42862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260350</wp:posOffset>
            </wp:positionV>
            <wp:extent cx="2374265" cy="8058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237426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8640" w:type="dxa"/>
            <w:vAlign w:val="bottom"/>
          </w:tcPr>
          <w:p>
            <w:pPr>
              <w:ind w:left="980"/>
              <w:spacing w:after="0"/>
              <w:rPr>
                <w:sz w:val="20"/>
                <w:szCs w:val="20"/>
                <w:color w:val="auto"/>
              </w:rPr>
            </w:pPr>
            <w:r>
              <w:rPr>
                <w:rFonts w:ascii="Arial" w:cs="Arial" w:eastAsia="Arial" w:hAnsi="Arial"/>
                <w:sz w:val="20"/>
                <w:szCs w:val="20"/>
                <w:color w:val="373A36"/>
              </w:rPr>
              <w:t>1029 West 19th Street, Chattanooga, Tennessee, USA, 37408 | novonixgroup.com</w:t>
            </w:r>
          </w:p>
        </w:tc>
        <w:tc>
          <w:tcPr>
            <w:tcW w:w="2400" w:type="dxa"/>
            <w:vAlign w:val="bottom"/>
          </w:tcPr>
          <w:p>
            <w:pPr>
              <w:jc w:val="right"/>
              <w:ind w:right="1681"/>
              <w:spacing w:after="0"/>
              <w:rPr>
                <w:sz w:val="20"/>
                <w:szCs w:val="20"/>
                <w:color w:val="auto"/>
              </w:rPr>
            </w:pPr>
            <w:r>
              <w:rPr>
                <w:rFonts w:ascii="Arial" w:cs="Arial" w:eastAsia="Arial" w:hAnsi="Arial"/>
                <w:sz w:val="20"/>
                <w:szCs w:val="20"/>
                <w:color w:val="auto"/>
              </w:rPr>
              <w:t>17</w:t>
            </w:r>
          </w:p>
        </w:tc>
      </w:tr>
      <w:tr>
        <w:trPr>
          <w:trHeight w:val="1172"/>
        </w:trPr>
        <w:tc>
          <w:tcPr>
            <w:tcW w:w="86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894080</wp:posOffset>
            </wp:positionH>
            <wp:positionV relativeFrom="page">
              <wp:posOffset>8241665</wp:posOffset>
            </wp:positionV>
            <wp:extent cx="5760720"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60720" cy="2540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260350</wp:posOffset>
            </wp:positionV>
            <wp:extent cx="2374265" cy="8058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237426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ASX Listing Rules Appendix 4C (17/07/20)</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 See chapter 19 of the ASX Listing Rules for defined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596900</wp:posOffset>
            </wp:positionV>
            <wp:extent cx="703770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59"/>
          </w:cols>
          <w:pgMar w:left="1400" w:top="1440" w:right="1440"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1."/>
      <w:numFmt w:val="decimal"/>
      <w:start w:val="2"/>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2"/>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2026-10-30T06:08:29Z</dcterms:created>
  <dcterms:modified xsi:type="dcterms:W3CDTF">2026-10-30T06:08:29Z</dcterms:modified>
</cp:coreProperties>
</file>