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oct-22-2026-app3h.htm"/>
      <w:bookmarkStart w:id="1" w:name="ksnvx6koct222026app3h"/>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663" w:type="dxa"/>
        <w:jc w:val="left"/>
        <w:tblInd w:w="0" w:type="dxa"/>
        <w:tblLayout w:type="fixed"/>
        <w:tblCellMar>
          <w:top w:w="28" w:type="dxa"/>
          <w:left w:w="28" w:type="dxa"/>
          <w:bottom w:w="28" w:type="dxa"/>
          <w:right w:w="28" w:type="dxa"/>
        </w:tblCellMar>
      </w:tblPr>
      <w:tblGrid>
        <w:gridCol w:w="1141"/>
        <w:gridCol w:w="146"/>
        <w:gridCol w:w="637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3H (Notification of cessation of securities) dated October 22,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22,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7" w:after="283"/>
        <w:jc w:val="right"/>
        <w:rPr>
          <w:rFonts w:ascii="Times New Roman" w:hAnsi="Times New Roman"/>
          <w:color w:val="000000"/>
          <w:sz w:val="25"/>
        </w:rPr>
      </w:pPr>
      <w:r>
        <w:rPr>
          <w:rFonts w:ascii="Times New Roman" w:hAnsi="Times New Roman"/>
          <w:color w:val="000000"/>
          <w:sz w:val="25"/>
        </w:rPr>
        <w:t>EXHIBIT 99.1</w:t>
      </w:r>
    </w:p>
    <w:p>
      <w:pPr>
        <w:pStyle w:val="TextBody"/>
        <w:bidi w:val="0"/>
        <w:spacing w:before="94" w:after="283"/>
        <w:jc w:val="left"/>
        <w:rPr>
          <w:rFonts w:ascii="Arial" w:hAnsi="Arial"/>
          <w:color w:val="000000"/>
          <w:sz w:val="18"/>
        </w:rPr>
      </w:pPr>
      <w:r>
        <w:rPr>
          <w:rFonts w:ascii="Arial" w:hAnsi="Arial"/>
          <w:color w:val="000000"/>
          <w:sz w:val="18"/>
        </w:rPr>
        <w:t>Announcement Summary</w:t>
      </w:r>
    </w:p>
    <w:p>
      <w:pPr>
        <w:pStyle w:val="TextBody"/>
        <w:bidi w:val="0"/>
        <w:spacing w:before="4" w:after="283"/>
        <w:jc w:val="left"/>
        <w:rPr/>
      </w:pPr>
      <w:r>
        <w:rPr/>
        <w:t> </w:t>
      </w:r>
    </w:p>
    <w:p>
      <w:pPr>
        <w:pStyle w:val="TextBody"/>
        <w:pBdr>
          <w:top w:val="single" w:sz="6" w:space="1" w:color="0C3A6C"/>
        </w:pBdr>
        <w:bidi w:val="0"/>
        <w:spacing w:before="8" w:after="283"/>
        <w:jc w:val="left"/>
        <w:rPr/>
      </w:pPr>
      <w:r>
        <w:rPr/>
        <w:t> </w:t>
      </w:r>
    </w:p>
    <w:p>
      <w:pPr>
        <w:pStyle w:val="Heading1"/>
        <w:bidi w:val="0"/>
        <w:spacing w:before="2" w:after="283"/>
        <w:jc w:val="left"/>
        <w:rPr>
          <w:rFonts w:ascii="Arial" w:hAnsi="Arial"/>
          <w:color w:val="000000"/>
          <w:sz w:val="18"/>
        </w:rPr>
      </w:pPr>
      <w:r>
        <w:rPr>
          <w:rFonts w:ascii="Arial" w:hAnsi="Arial"/>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Heading1"/>
        <w:bidi w:val="0"/>
        <w:spacing w:before="154" w:after="283"/>
        <w:jc w:val="left"/>
        <w:rPr>
          <w:rFonts w:ascii="Arial" w:hAnsi="Arial"/>
          <w:color w:val="000000"/>
          <w:sz w:val="18"/>
        </w:rPr>
      </w:pPr>
      <w:r>
        <w:rPr>
          <w:rFonts w:ascii="Arial" w:hAnsi="Arial"/>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Heading1"/>
        <w:bidi w:val="0"/>
        <w:spacing w:before="153" w:after="283"/>
        <w:jc w:val="left"/>
        <w:rPr>
          <w:rFonts w:ascii="Arial" w:hAnsi="Arial"/>
          <w:color w:val="000000"/>
          <w:sz w:val="18"/>
        </w:rPr>
      </w:pPr>
      <w:r>
        <w:rPr>
          <w:rFonts w:ascii="Arial" w:hAnsi="Arial"/>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Thursday October 22, 2026</w:t>
      </w:r>
    </w:p>
    <w:p>
      <w:pPr>
        <w:pStyle w:val="TextBody"/>
        <w:bidi w:val="0"/>
        <w:spacing w:before="8" w:after="283"/>
        <w:jc w:val="left"/>
        <w:rPr/>
      </w:pPr>
      <w:r>
        <w:rPr/>
        <w:t> </w:t>
      </w:r>
    </w:p>
    <w:p>
      <w:pPr>
        <w:pStyle w:val="Heading1"/>
        <w:bidi w:val="0"/>
        <w:spacing w:before="1" w:after="283"/>
        <w:jc w:val="left"/>
        <w:rPr>
          <w:rFonts w:ascii="Arial" w:hAnsi="Arial"/>
          <w:color w:val="000000"/>
          <w:sz w:val="18"/>
        </w:rPr>
      </w:pPr>
      <w:r>
        <w:rPr>
          <w:rFonts w:ascii="Arial" w:hAnsi="Arial"/>
          <w:color w:val="000000"/>
          <w:sz w:val="18"/>
        </w:rPr>
        <w:t>Details of +securities that have ceased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164"/>
        <w:gridCol w:w="2145"/>
        <w:gridCol w:w="1458"/>
        <w:gridCol w:w="4231"/>
        <w:gridCol w:w="1046"/>
      </w:tblGrid>
      <w:tr>
        <w:trPr/>
        <w:tc>
          <w:tcPr>
            <w:tcW w:w="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116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4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58"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Number of</w:t>
            </w:r>
          </w:p>
        </w:tc>
        <w:tc>
          <w:tcPr>
            <w:tcW w:w="423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46" w:type="dxa"/>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w:t>
            </w:r>
          </w:p>
        </w:tc>
        <w:tc>
          <w:tcPr>
            <w:tcW w:w="21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+securities that</w:t>
            </w:r>
            <w:r>
              <w:rPr>
                <w:rFonts w:ascii="Arial" w:hAnsi="Arial"/>
                <w:color w:val="000000"/>
                <w:sz w:val="18"/>
              </w:rPr>
              <w:t xml:space="preserve"> </w:t>
            </w:r>
          </w:p>
        </w:tc>
        <w:tc>
          <w:tcPr>
            <w:tcW w:w="4231"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sz w:val="18"/>
              </w:rPr>
            </w:pPr>
            <w:r>
              <w:rPr>
                <w:rFonts w:ascii="Arial" w:hAnsi="Arial"/>
                <w:b/>
                <w:color w:val="000000"/>
                <w:sz w:val="18"/>
              </w:rPr>
              <w:t>The +securities have</w:t>
            </w:r>
            <w:r>
              <w:rPr>
                <w:rFonts w:ascii="Arial" w:hAnsi="Arial"/>
                <w:color w:val="000000"/>
                <w:sz w:val="18"/>
              </w:rPr>
              <w:t xml:space="preserve"> </w:t>
            </w:r>
          </w:p>
        </w:tc>
        <w:tc>
          <w:tcPr>
            <w:tcW w:w="104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Date of</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1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Security description</w:t>
            </w:r>
          </w:p>
        </w:tc>
        <w:tc>
          <w:tcPr>
            <w:tcW w:w="1458"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have ceased</w:t>
            </w:r>
            <w:r>
              <w:rPr>
                <w:rFonts w:ascii="Arial" w:hAnsi="Arial"/>
                <w:color w:val="000000"/>
                <w:sz w:val="18"/>
              </w:rPr>
              <w:t xml:space="preserve"> </w:t>
            </w:r>
          </w:p>
        </w:tc>
        <w:tc>
          <w:tcPr>
            <w:tcW w:w="4231"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ceased due to</w:t>
            </w:r>
          </w:p>
        </w:tc>
        <w:tc>
          <w:tcPr>
            <w:tcW w:w="1046" w:type="dxa"/>
            <w:tcBorders>
              <w:right w:val="single" w:sz="4" w:space="0" w:color="000000"/>
            </w:tcBorders>
            <w:tcMar>
              <w:top w:w="0" w:type="dxa"/>
              <w:left w:w="0" w:type="dxa"/>
              <w:bottom w:w="0" w:type="dxa"/>
            </w:tcMar>
            <w:vAlign w:val="center"/>
          </w:tcPr>
          <w:p>
            <w:pPr>
              <w:pStyle w:val="TableContents"/>
              <w:bidi w:val="0"/>
              <w:jc w:val="left"/>
              <w:rPr>
                <w:rFonts w:ascii="Arial" w:hAnsi="Arial"/>
                <w:b/>
                <w:color w:val="000000"/>
                <w:sz w:val="18"/>
              </w:rPr>
            </w:pPr>
            <w:r>
              <w:rPr>
                <w:rFonts w:ascii="Arial" w:hAnsi="Arial"/>
                <w:b/>
                <w:color w:val="000000"/>
                <w:sz w:val="18"/>
              </w:rPr>
              <w:t>cessation</w:t>
            </w:r>
          </w:p>
          <w:p>
            <w:pPr>
              <w:pStyle w:val="TableContents"/>
              <w:bidi w:val="0"/>
              <w:spacing w:before="0" w:after="283"/>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NVXAH</w:t>
            </w:r>
          </w:p>
        </w:tc>
        <w:tc>
          <w:tcPr>
            <w:tcW w:w="2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CONVERTIBLE DEBENTURES</w:t>
            </w:r>
          </w:p>
        </w:tc>
        <w:tc>
          <w:tcPr>
            <w:tcW w:w="1458"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8"/>
              </w:rPr>
            </w:pPr>
            <w:r>
              <w:rPr>
                <w:rFonts w:ascii="Arial" w:hAnsi="Arial"/>
                <w:color w:val="000000"/>
                <w:sz w:val="18"/>
              </w:rPr>
              <w:t>7,000,000</w:t>
            </w:r>
          </w:p>
        </w:tc>
        <w:tc>
          <w:tcPr>
            <w:tcW w:w="4231" w:type="dxa"/>
            <w:tcBorders>
              <w:bottom w:val="single" w:sz="4" w:space="0" w:color="000000"/>
            </w:tcBorders>
            <w:tcMar>
              <w:top w:w="0" w:type="dxa"/>
              <w:left w:w="0" w:type="dxa"/>
              <w:right w:w="0" w:type="dxa"/>
            </w:tcMar>
            <w:vAlign w:val="center"/>
          </w:tcPr>
          <w:p>
            <w:pPr>
              <w:pStyle w:val="TableContents"/>
              <w:bidi w:val="0"/>
              <w:ind w:left="0" w:right="0" w:firstLine="144"/>
              <w:jc w:val="left"/>
              <w:rPr>
                <w:rFonts w:ascii="Arial" w:hAnsi="Arial"/>
                <w:color w:val="000000"/>
                <w:sz w:val="18"/>
              </w:rPr>
            </w:pPr>
            <w:r>
              <w:rPr>
                <w:rFonts w:ascii="Arial" w:hAnsi="Arial"/>
                <w:color w:val="000000"/>
                <w:sz w:val="18"/>
              </w:rPr>
              <w:t>Repayment or redemption of +convertible debt security without conversion</w:t>
            </w:r>
          </w:p>
          <w:p>
            <w:pPr>
              <w:pStyle w:val="TableContents"/>
              <w:bidi w:val="0"/>
              <w:spacing w:before="0" w:after="283"/>
              <w:ind w:left="0" w:right="0" w:firstLine="144"/>
              <w:jc w:val="left"/>
              <w:rPr/>
            </w:pPr>
            <w:r>
              <w:rPr/>
              <w:t> </w:t>
            </w:r>
          </w:p>
        </w:tc>
        <w:tc>
          <w:tcPr>
            <w:tcW w:w="10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21/09/2026</w:t>
            </w:r>
          </w:p>
        </w:tc>
      </w:tr>
    </w:tbl>
    <w:p>
      <w:pPr>
        <w:pStyle w:val="TextBody"/>
        <w:bidi w:val="0"/>
        <w:spacing w:before="8" w:after="283"/>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1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1 - Announcement Details</w:t>
      </w:r>
    </w:p>
    <w:p>
      <w:pPr>
        <w:pStyle w:val="TextBody"/>
        <w:bidi w:val="0"/>
        <w:spacing w:before="4" w:after="283"/>
        <w:jc w:val="left"/>
        <w:rPr/>
      </w:pPr>
      <w:r>
        <w:rPr/>
        <w:t> </w:t>
      </w:r>
    </w:p>
    <w:p>
      <w:pPr>
        <w:pStyle w:val="TextBody"/>
        <w:pBdr>
          <w:top w:val="single" w:sz="6" w:space="1" w:color="0C3A6C"/>
        </w:pBdr>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provide the following information about our issued capital.</w:t>
      </w:r>
    </w:p>
    <w:tbl>
      <w:tblPr>
        <w:tblW w:w="4652" w:type="dxa"/>
        <w:jc w:val="left"/>
        <w:tblInd w:w="0" w:type="dxa"/>
        <w:tblLayout w:type="fixed"/>
        <w:tblCellMar>
          <w:top w:w="28" w:type="dxa"/>
          <w:left w:w="28" w:type="dxa"/>
          <w:bottom w:w="28" w:type="dxa"/>
          <w:right w:w="28" w:type="dxa"/>
        </w:tblCellMar>
      </w:tblPr>
      <w:tblGrid>
        <w:gridCol w:w="2716"/>
        <w:gridCol w:w="1936"/>
      </w:tblGrid>
      <w:tr>
        <w:trPr/>
        <w:tc>
          <w:tcPr>
            <w:tcW w:w="271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1.2 Registered Number Type</w:t>
            </w:r>
          </w:p>
        </w:tc>
        <w:tc>
          <w:tcPr>
            <w:tcW w:w="193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Registration Number</w:t>
            </w:r>
          </w:p>
        </w:tc>
      </w:tr>
      <w:tr>
        <w:trPr/>
        <w:tc>
          <w:tcPr>
            <w:tcW w:w="271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ABN</w:t>
            </w:r>
          </w:p>
        </w:tc>
        <w:tc>
          <w:tcPr>
            <w:tcW w:w="193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54157690830</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1.3 ASX issuer code</w:t>
            </w:r>
          </w:p>
          <w:p>
            <w:pPr>
              <w:pStyle w:val="TableContents"/>
              <w:bidi w:val="0"/>
              <w:spacing w:before="105" w:after="283"/>
              <w:jc w:val="left"/>
              <w:rPr>
                <w:rFonts w:ascii="Arial" w:hAnsi="Arial"/>
                <w:color w:val="000000"/>
                <w:sz w:val="18"/>
              </w:rPr>
            </w:pPr>
            <w:r>
              <w:rPr>
                <w:rFonts w:ascii="Arial" w:hAnsi="Arial"/>
                <w:color w:val="000000"/>
                <w:sz w:val="18"/>
              </w:rPr>
              <w:t>NVX</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1.4 The announcement is</w:t>
            </w:r>
          </w:p>
          <w:p>
            <w:pPr>
              <w:pStyle w:val="TableContents"/>
              <w:bidi w:val="0"/>
              <w:spacing w:before="0" w:after="283"/>
              <w:jc w:val="left"/>
              <w:rPr>
                <w:rFonts w:ascii="Arial" w:hAnsi="Arial"/>
                <w:color w:val="000000"/>
                <w:sz w:val="18"/>
              </w:rPr>
            </w:pPr>
            <w:r>
              <w:rPr>
                <w:rFonts w:ascii="Arial" w:hAnsi="Arial"/>
                <w:color w:val="000000"/>
                <w:sz w:val="18"/>
              </w:rPr>
              <w:t>New announcement</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48" w:after="283"/>
              <w:jc w:val="left"/>
              <w:rPr>
                <w:rFonts w:ascii="Arial" w:hAnsi="Arial"/>
                <w:b/>
                <w:color w:val="000000"/>
                <w:sz w:val="18"/>
              </w:rPr>
            </w:pPr>
            <w:r>
              <w:rPr>
                <w:rFonts w:ascii="Arial" w:hAnsi="Arial"/>
                <w:b/>
                <w:color w:val="000000"/>
                <w:sz w:val="18"/>
              </w:rPr>
              <w:t>1.5 Date of this announcement</w:t>
            </w:r>
          </w:p>
          <w:p>
            <w:pPr>
              <w:pStyle w:val="TableContents"/>
              <w:bidi w:val="0"/>
              <w:spacing w:before="105" w:after="283"/>
              <w:jc w:val="left"/>
              <w:rPr>
                <w:rFonts w:ascii="Arial" w:hAnsi="Arial"/>
                <w:color w:val="000000"/>
                <w:sz w:val="18"/>
              </w:rPr>
            </w:pPr>
            <w:r>
              <w:rPr>
                <w:rFonts w:ascii="Arial" w:hAnsi="Arial"/>
                <w:color w:val="000000"/>
                <w:sz w:val="18"/>
              </w:rPr>
              <w:t>22/10/2026</w:t>
            </w:r>
          </w:p>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bl>
    <w:p>
      <w:pPr>
        <w:pStyle w:val="TextBody"/>
        <w:bidi w:val="0"/>
        <w:spacing w:before="90" w:after="283"/>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2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2 - Details of +equity securities or +debt securities that have ceased</w:t>
      </w:r>
    </w:p>
    <w:p>
      <w:pPr>
        <w:pStyle w:val="TextBody"/>
        <w:pBdr>
          <w:bottom w:val="single" w:sz="8" w:space="1" w:color="0C3A6C"/>
        </w:pBdr>
        <w:bidi w:val="0"/>
        <w:spacing w:before="3" w:after="283"/>
        <w:jc w:val="left"/>
        <w:rPr/>
      </w:pPr>
      <w:r>
        <w:rPr/>
        <w:t> </w:t>
      </w:r>
    </w:p>
    <w:p>
      <w:pPr>
        <w:pStyle w:val="TextBody"/>
        <w:bidi w:val="0"/>
        <w:spacing w:before="5" w:after="283"/>
        <w:jc w:val="left"/>
        <w:rPr/>
      </w:pPr>
      <w:r>
        <w:rPr/>
        <w:t> </w:t>
      </w:r>
    </w:p>
    <w:p>
      <w:pPr>
        <w:pStyle w:val="TextBody"/>
        <w:bidi w:val="0"/>
        <w:spacing w:before="15"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NVXAH : CONVERTIBLE DEBENTURES</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Unquoted +equity securities that have ceased Number of securities that have ceased</w:t>
      </w:r>
    </w:p>
    <w:p>
      <w:pPr>
        <w:pStyle w:val="TextBody"/>
        <w:bidi w:val="0"/>
        <w:spacing w:before="18" w:after="283"/>
        <w:jc w:val="left"/>
        <w:rPr>
          <w:rFonts w:ascii="Arial" w:hAnsi="Arial"/>
          <w:color w:val="000000"/>
          <w:sz w:val="18"/>
        </w:rPr>
      </w:pPr>
      <w:r>
        <w:rPr>
          <w:rFonts w:ascii="Arial" w:hAnsi="Arial"/>
          <w:color w:val="000000"/>
          <w:sz w:val="18"/>
        </w:rPr>
        <w:t>7,000,000</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Reason for cessation</w:t>
      </w:r>
    </w:p>
    <w:p>
      <w:pPr>
        <w:pStyle w:val="TextBody"/>
        <w:bidi w:val="0"/>
        <w:spacing w:before="105" w:after="283"/>
        <w:jc w:val="left"/>
        <w:rPr>
          <w:rFonts w:ascii="Arial" w:hAnsi="Arial"/>
          <w:color w:val="000000"/>
          <w:sz w:val="18"/>
        </w:rPr>
      </w:pPr>
      <w:r>
        <w:rPr>
          <w:rFonts w:ascii="Arial" w:hAnsi="Arial"/>
          <w:color w:val="000000"/>
          <w:sz w:val="18"/>
        </w:rPr>
        <w:t>Repayment or redemption of +convertible debt security without conversion</w:t>
      </w:r>
    </w:p>
    <w:tbl>
      <w:tblPr>
        <w:tblW w:w="6542" w:type="dxa"/>
        <w:jc w:val="left"/>
        <w:tblInd w:w="0" w:type="dxa"/>
        <w:tblLayout w:type="fixed"/>
        <w:tblCellMar>
          <w:top w:w="28" w:type="dxa"/>
          <w:left w:w="28" w:type="dxa"/>
          <w:bottom w:w="28" w:type="dxa"/>
          <w:right w:w="28" w:type="dxa"/>
        </w:tblCellMar>
      </w:tblPr>
      <w:tblGrid>
        <w:gridCol w:w="1621"/>
        <w:gridCol w:w="4921"/>
      </w:tblGrid>
      <w:tr>
        <w:trPr/>
        <w:tc>
          <w:tcPr>
            <w:tcW w:w="162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107" w:after="283"/>
              <w:jc w:val="left"/>
              <w:rPr>
                <w:rFonts w:ascii="Arial" w:hAnsi="Arial"/>
                <w:b/>
                <w:color w:val="000000"/>
                <w:sz w:val="18"/>
              </w:rPr>
            </w:pPr>
            <w:r>
              <w:rPr>
                <w:rFonts w:ascii="Arial" w:hAnsi="Arial"/>
                <w:b/>
                <w:color w:val="000000"/>
                <w:sz w:val="18"/>
              </w:rPr>
              <w:t>Date of cessation</w:t>
            </w:r>
          </w:p>
        </w:tc>
        <w:tc>
          <w:tcPr>
            <w:tcW w:w="4921" w:type="dxa"/>
            <w:tcBorders/>
            <w:tcMar>
              <w:top w:w="0" w:type="dxa"/>
              <w:left w:w="0" w:type="dxa"/>
              <w:bottom w:w="0" w:type="dxa"/>
              <w:right w:w="0" w:type="dxa"/>
            </w:tcMar>
            <w:vAlign w:val="center"/>
          </w:tcPr>
          <w:p>
            <w:pPr>
              <w:pStyle w:val="Heading1"/>
              <w:bidi w:val="0"/>
              <w:spacing w:before="107" w:after="283"/>
              <w:jc w:val="left"/>
              <w:rPr>
                <w:rFonts w:ascii="Arial" w:hAnsi="Arial"/>
                <w:color w:val="000000"/>
                <w:sz w:val="18"/>
              </w:rPr>
            </w:pPr>
            <w:r>
              <w:rPr>
                <w:rFonts w:ascii="Arial" w:hAnsi="Arial"/>
                <w:color w:val="000000"/>
                <w:sz w:val="18"/>
              </w:rPr>
              <w:t>Is the entity paying any consideration for the cessation?</w:t>
            </w:r>
          </w:p>
        </w:tc>
      </w:tr>
      <w:tr>
        <w:trPr/>
        <w:tc>
          <w:tcPr>
            <w:tcW w:w="1621"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21/9/2026</w:t>
            </w:r>
          </w:p>
        </w:tc>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w:t>
            </w:r>
          </w:p>
        </w:tc>
      </w:tr>
    </w:tbl>
    <w:p>
      <w:pPr>
        <w:pStyle w:val="TextBody"/>
        <w:bidi w:val="0"/>
        <w:jc w:val="left"/>
        <w:rPr/>
      </w:pPr>
      <w:r>
        <w:rPr/>
        <w:t> </w:t>
      </w:r>
    </w:p>
    <w:p>
      <w:pPr>
        <w:pStyle w:val="TextBody"/>
        <w:bidi w:val="0"/>
        <w:spacing w:before="5"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Any other information the entity wishes to notify to ASX about the cessation?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0" w:after="283"/>
              <w:jc w:val="left"/>
              <w:rPr>
                <w:rFonts w:ascii="Arial" w:hAnsi="Arial"/>
                <w:color w:val="000000"/>
                <w:sz w:val="18"/>
              </w:rPr>
            </w:pPr>
            <w:r>
              <w:rPr>
                <w:rFonts w:ascii="Arial" w:hAnsi="Arial"/>
                <w:color w:val="000000"/>
                <w:sz w:val="18"/>
              </w:rPr>
              <w:t>As per announcement on 10 September 2026, as a result of an amortisation event, US$7,000,000 of convertibledebentures (7,000,000 convertible debentures) were redeemed.</w:t>
            </w:r>
          </w:p>
        </w:tc>
      </w:tr>
    </w:tbl>
    <w:p>
      <w:pPr>
        <w:pStyle w:val="TextBody"/>
        <w:bidi w:val="0"/>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3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3 - Issued capital following changes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Heading1"/>
        <w:bidi w:val="0"/>
        <w:jc w:val="left"/>
        <w:rPr>
          <w:rFonts w:ascii="Arial" w:hAnsi="Arial"/>
          <w:color w:val="000000"/>
          <w:sz w:val="18"/>
        </w:rPr>
      </w:pPr>
      <w:r>
        <w:rPr>
          <w:rFonts w:ascii="Arial" w:hAnsi="Arial"/>
          <w:color w:val="000000"/>
          <w:sz w:val="18"/>
        </w:rPr>
        <w:t>Following the cessation of the +securities the subject of this notification, the issued capital of the entity will comprise:</w:t>
      </w:r>
    </w:p>
    <w:p>
      <w:pPr>
        <w:pStyle w:val="TextBody"/>
        <w:bidi w:val="0"/>
        <w:spacing w:before="125" w:after="283"/>
        <w:jc w:val="left"/>
        <w:rPr>
          <w:rFonts w:ascii="Arial" w:hAnsi="Arial"/>
          <w:color w:val="000000"/>
          <w:sz w:val="18"/>
        </w:rPr>
      </w:pPr>
      <w:r>
        <w:rPr>
          <w:rFonts w:ascii="Arial" w:hAnsi="Arial"/>
          <w:color w:val="000000"/>
          <w:sz w:val="18"/>
        </w:rPr>
        <w:t>The figures in parts 3.1 and 3.2 below are automatically generated and may not reflect the entity's current issued capital if other Appendix 2A, Appendix 3G or Appendix 3H forms are currently with ASX for processing.</w:t>
      </w:r>
    </w:p>
    <w:p>
      <w:pPr>
        <w:pStyle w:val="TextBody"/>
        <w:bidi w:val="0"/>
        <w:spacing w:before="2" w:after="283"/>
        <w:jc w:val="left"/>
        <w:rPr/>
      </w:pPr>
      <w:r>
        <w:rPr/>
        <w:t> </w:t>
      </w:r>
    </w:p>
    <w:p>
      <w:pPr>
        <w:pStyle w:val="TextBody"/>
        <w:bidi w:val="0"/>
        <w:jc w:val="left"/>
        <w:rPr>
          <w:rFonts w:ascii="Arial" w:hAnsi="Arial"/>
          <w:b/>
          <w:color w:val="000000"/>
          <w:sz w:val="18"/>
        </w:rPr>
      </w:pPr>
      <w:r>
        <w:rPr>
          <w:rFonts w:ascii="Arial" w:hAnsi="Arial"/>
          <w:b/>
          <w:color w:val="000000"/>
          <w:sz w:val="18"/>
        </w:rPr>
        <w:t>3.1 Quoted +equity securities and +debt securities (total number of each +class of +securities quoted on ASX)</w:t>
      </w:r>
    </w:p>
    <w:p>
      <w:pPr>
        <w:pStyle w:val="TextBody"/>
        <w:bidi w:val="0"/>
        <w:spacing w:before="8" w:after="283"/>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3"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997,927,386</w:t>
            </w:r>
          </w:p>
        </w:tc>
      </w:tr>
    </w:tbl>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3.2 Unquoted +equity securities (total number of each +class of +equity securities issued but not quoted on ASX)</w:t>
      </w:r>
    </w:p>
    <w:p>
      <w:pPr>
        <w:pStyle w:val="TextBody"/>
        <w:bidi w:val="0"/>
        <w:spacing w:before="8" w:after="283"/>
        <w:jc w:val="left"/>
        <w:rPr/>
      </w:pPr>
      <w:r>
        <w:rPr/>
        <w:t> </w:t>
      </w:r>
    </w:p>
    <w:tbl>
      <w:tblPr>
        <w:tblW w:w="7682" w:type="dxa"/>
        <w:jc w:val="left"/>
        <w:tblInd w:w="0" w:type="dxa"/>
        <w:tblLayout w:type="fixed"/>
        <w:tblCellMar>
          <w:top w:w="28" w:type="dxa"/>
          <w:left w:w="28" w:type="dxa"/>
          <w:bottom w:w="28" w:type="dxa"/>
          <w:right w:w="28" w:type="dxa"/>
        </w:tblCellMar>
      </w:tblPr>
      <w:tblGrid>
        <w:gridCol w:w="5806"/>
        <w:gridCol w:w="1876"/>
      </w:tblGrid>
      <w:tr>
        <w:trPr/>
        <w:tc>
          <w:tcPr>
            <w:tcW w:w="58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95" w:after="283"/>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20,623,340</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2" w:after="283"/>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172" w:after="283"/>
              <w:jc w:val="right"/>
              <w:rPr>
                <w:rFonts w:ascii="Arial" w:hAnsi="Arial"/>
                <w:color w:val="000000"/>
                <w:sz w:val="18"/>
              </w:rPr>
            </w:pPr>
            <w:r>
              <w:rPr>
                <w:rFonts w:ascii="Arial" w:hAnsi="Arial"/>
                <w:color w:val="000000"/>
                <w:sz w:val="18"/>
              </w:rPr>
              <w:t>14,016,667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NVXAB : SHARE RIGHTS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1,371,566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45,221,586</w:t>
            </w:r>
          </w:p>
        </w:tc>
      </w:tr>
    </w:tbl>
    <w:p>
      <w:pPr>
        <w:pStyle w:val="TextBody"/>
        <w:bidi w:val="0"/>
        <w:spacing w:before="8" w:after="283"/>
        <w:jc w:val="left"/>
        <w:rPr/>
      </w:pPr>
      <w:r>
        <w:rPr/>
        <w:t> </w:t>
      </w:r>
    </w:p>
    <w:tbl>
      <w:tblPr>
        <w:tblW w:w="4532" w:type="dxa"/>
        <w:jc w:val="left"/>
        <w:tblInd w:w="0" w:type="dxa"/>
        <w:tblLayout w:type="fixed"/>
        <w:tblCellMar>
          <w:top w:w="28" w:type="dxa"/>
          <w:left w:w="28" w:type="dxa"/>
          <w:bottom w:w="28" w:type="dxa"/>
          <w:right w:w="28" w:type="dxa"/>
        </w:tblCellMar>
      </w:tblPr>
      <w:tblGrid>
        <w:gridCol w:w="3451"/>
        <w:gridCol w:w="1081"/>
      </w:tblGrid>
      <w:tr>
        <w:trPr/>
        <w:tc>
          <w:tcPr>
            <w:tcW w:w="34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NVXAH : CONVERTIBLE DEBENTURES</w:t>
            </w:r>
          </w:p>
        </w:tc>
        <w:tc>
          <w:tcPr>
            <w:tcW w:w="1081"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28,000,000</w:t>
            </w:r>
          </w:p>
        </w:tc>
      </w:tr>
    </w:tbl>
    <w:p>
      <w:pPr>
        <w:pStyle w:val="TextBody"/>
        <w:bidi w:val="0"/>
        <w:jc w:val="left"/>
        <w:rPr/>
      </w:pPr>
      <w:r>
        <w:rPr/>
        <w:t> </w:t>
      </w:r>
    </w:p>
    <w:p>
      <w:pPr>
        <w:pStyle w:val="TextBody"/>
        <w:bidi w:val="0"/>
        <w:jc w:val="left"/>
        <w:rPr/>
      </w:pPr>
      <w:r>
        <w:rPr/>
        <w:t> </w:t>
      </w:r>
    </w:p>
    <w:p>
      <w:pPr>
        <w:pStyle w:val="TextBody"/>
        <w:bidi w:val="0"/>
        <w:spacing w:before="7" w:after="283"/>
        <w:jc w:val="left"/>
        <w:rPr/>
      </w:pPr>
      <w:r>
        <w:rPr/>
        <w:t> </w:t>
      </w:r>
    </w:p>
    <w:p>
      <w:pPr>
        <w:pStyle w:val="TextBody"/>
        <w:bidi w:val="0"/>
        <w:jc w:val="left"/>
        <w:rPr>
          <w:rFonts w:ascii="Arial" w:hAnsi="Arial"/>
          <w:color w:val="000000"/>
          <w:sz w:val="18"/>
        </w:rPr>
      </w:pPr>
      <w:r>
        <w:rPr>
          <w:rFonts w:ascii="Arial" w:hAnsi="Arial"/>
          <w:color w:val="000000"/>
          <w:sz w:val="18"/>
        </w:rPr>
        <w:t>Note: the figures stated in the tables above are used to calculate the total market capitalisation of the entity published by ASX from time to time. The table will not include those classes of +securities that have ceased or lapsed in their entirety in ASX records before the announcement date described in Q1.5, even if the entity has advised ASX of a change to that class of +security in Part 2 of this form.</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4 / 4</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716</Words>
  <Characters>3875</Characters>
  <CharactersWithSpaces>4595</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