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May,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Appendix 2A (Application for quotation of securities) dated May 13, 2026.</w:t>
            </w:r>
          </w:p>
        </w:tc>
      </w:tr>
      <w:tr>
        <w:trPr>
          <w:trHeight w:val="527"/>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4520" w:type="dxa"/>
            <w:vAlign w:val="bottom"/>
            <w:tcBorders>
              <w:top w:val="single" w:sz="8" w:color="0000FF"/>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23114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EXHIBIT 99.1</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104775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Wednesday May 13, 2026</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+securities to be quoted are:</w:t>
      </w:r>
    </w:p>
    <w:p>
      <w:pPr>
        <w:spacing w:after="0" w:line="21" w:lineRule="exact"/>
        <w:rPr>
          <w:sz w:val="20"/>
          <w:szCs w:val="20"/>
          <w:color w:val="auto"/>
        </w:rPr>
      </w:pPr>
    </w:p>
    <w:p>
      <w:pPr>
        <w:ind w:left="600" w:right="1180"/>
        <w:spacing w:after="0" w:line="328" w:lineRule="auto"/>
        <w:rPr>
          <w:sz w:val="20"/>
          <w:szCs w:val="20"/>
          <w:color w:val="auto"/>
        </w:rPr>
      </w:pPr>
      <w:r>
        <w:rPr>
          <w:rFonts w:ascii="Arial" w:cs="Arial" w:eastAsia="Arial" w:hAnsi="Arial"/>
          <w:sz w:val="16"/>
          <w:szCs w:val="16"/>
          <w:color w:val="auto"/>
        </w:rPr>
        <w:t xml:space="preserve">+Securities issued, transferred or re-classified as a result of options being exercised or other +convertible securities being converted </w:t>
      </w:r>
      <w:r>
        <w:rPr>
          <w:rFonts w:ascii="Arial" w:cs="Arial" w:eastAsia="Arial" w:hAnsi="Arial"/>
          <w:sz w:val="16"/>
          <w:szCs w:val="16"/>
          <w:b w:val="1"/>
          <w:bCs w:val="1"/>
          <w:color w:val="auto"/>
        </w:rPr>
        <w:t>Total number of +securities to be quoted</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200" w:type="dxa"/>
            <w:vAlign w:val="bottom"/>
            <w:tcBorders>
              <w:top w:val="single" w:sz="8" w:color="auto"/>
              <w:left w:val="single" w:sz="8" w:color="auto"/>
            </w:tcBorders>
          </w:tcPr>
          <w:p>
            <w:pPr>
              <w:ind w:left="580"/>
              <w:spacing w:after="0"/>
              <w:rPr>
                <w:sz w:val="20"/>
                <w:szCs w:val="20"/>
                <w:color w:val="auto"/>
              </w:rPr>
            </w:pPr>
            <w:r>
              <w:rPr>
                <w:rFonts w:ascii="Arial" w:cs="Arial" w:eastAsia="Arial" w:hAnsi="Arial"/>
                <w:sz w:val="16"/>
                <w:szCs w:val="16"/>
                <w:b w:val="1"/>
                <w:bCs w:val="1"/>
                <w:color w:val="auto"/>
              </w:rPr>
              <w:t>ASX +security</w:t>
            </w:r>
          </w:p>
        </w:tc>
        <w:tc>
          <w:tcPr>
            <w:tcW w:w="3580" w:type="dxa"/>
            <w:vAlign w:val="bottom"/>
            <w:tcBorders>
              <w:top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jc w:val="right"/>
              <w:ind w:right="2260"/>
              <w:spacing w:after="0"/>
              <w:rPr>
                <w:sz w:val="20"/>
                <w:szCs w:val="20"/>
                <w:color w:val="auto"/>
              </w:rPr>
            </w:pPr>
            <w:r>
              <w:rPr>
                <w:rFonts w:ascii="Arial" w:cs="Arial" w:eastAsia="Arial" w:hAnsi="Arial"/>
                <w:sz w:val="16"/>
                <w:szCs w:val="16"/>
                <w:b w:val="1"/>
                <w:bCs w:val="1"/>
                <w:color w:val="auto"/>
              </w:rPr>
              <w:t>Number of +securities to</w:t>
            </w:r>
          </w:p>
        </w:tc>
      </w:tr>
      <w:tr>
        <w:trPr>
          <w:trHeight w:val="223"/>
        </w:trPr>
        <w:tc>
          <w:tcPr>
            <w:tcW w:w="2200" w:type="dxa"/>
            <w:vAlign w:val="bottom"/>
            <w:tcBorders>
              <w:left w:val="single" w:sz="8" w:color="auto"/>
            </w:tcBorders>
          </w:tcPr>
          <w:p>
            <w:pPr>
              <w:ind w:left="580"/>
              <w:spacing w:after="0"/>
              <w:rPr>
                <w:sz w:val="20"/>
                <w:szCs w:val="20"/>
                <w:color w:val="auto"/>
              </w:rPr>
            </w:pPr>
            <w:r>
              <w:rPr>
                <w:rFonts w:ascii="Arial" w:cs="Arial" w:eastAsia="Arial" w:hAnsi="Arial"/>
                <w:sz w:val="16"/>
                <w:szCs w:val="16"/>
                <w:b w:val="1"/>
                <w:bCs w:val="1"/>
                <w:color w:val="auto"/>
              </w:rPr>
              <w:t>code</w:t>
            </w:r>
          </w:p>
        </w:tc>
        <w:tc>
          <w:tcPr>
            <w:tcW w:w="3580" w:type="dxa"/>
            <w:vAlign w:val="bottom"/>
          </w:tcPr>
          <w:p>
            <w:pPr>
              <w:ind w:left="520"/>
              <w:spacing w:after="0"/>
              <w:rPr>
                <w:sz w:val="20"/>
                <w:szCs w:val="20"/>
                <w:color w:val="auto"/>
              </w:rPr>
            </w:pPr>
            <w:r>
              <w:rPr>
                <w:rFonts w:ascii="Arial" w:cs="Arial" w:eastAsia="Arial" w:hAnsi="Arial"/>
                <w:sz w:val="16"/>
                <w:szCs w:val="16"/>
                <w:b w:val="1"/>
                <w:bCs w:val="1"/>
                <w:color w:val="auto"/>
              </w:rPr>
              <w:t>Security description</w:t>
            </w:r>
          </w:p>
        </w:tc>
        <w:tc>
          <w:tcPr>
            <w:tcW w:w="5460" w:type="dxa"/>
            <w:vAlign w:val="bottom"/>
            <w:tcBorders>
              <w:right w:val="single" w:sz="8" w:color="auto"/>
            </w:tcBorders>
          </w:tcPr>
          <w:p>
            <w:pPr>
              <w:jc w:val="right"/>
              <w:ind w:right="1120"/>
              <w:spacing w:after="0"/>
              <w:rPr>
                <w:sz w:val="20"/>
                <w:szCs w:val="20"/>
                <w:color w:val="auto"/>
              </w:rPr>
            </w:pPr>
            <w:r>
              <w:rPr>
                <w:rFonts w:ascii="Arial" w:cs="Arial" w:eastAsia="Arial" w:hAnsi="Arial"/>
                <w:sz w:val="16"/>
                <w:szCs w:val="16"/>
                <w:b w:val="1"/>
                <w:bCs w:val="1"/>
                <w:color w:val="auto"/>
              </w:rPr>
              <w:t>be quoted Issue date</w:t>
            </w:r>
          </w:p>
        </w:tc>
      </w:tr>
      <w:tr>
        <w:trPr>
          <w:trHeight w:val="424"/>
        </w:trPr>
        <w:tc>
          <w:tcPr>
            <w:tcW w:w="2200" w:type="dxa"/>
            <w:vAlign w:val="bottom"/>
            <w:tcBorders>
              <w:left w:val="single" w:sz="8" w:color="auto"/>
            </w:tcBorders>
          </w:tcPr>
          <w:p>
            <w:pPr>
              <w:ind w:left="580"/>
              <w:spacing w:after="0"/>
              <w:rPr>
                <w:sz w:val="20"/>
                <w:szCs w:val="20"/>
                <w:color w:val="auto"/>
              </w:rPr>
            </w:pPr>
            <w:r>
              <w:rPr>
                <w:rFonts w:ascii="Arial" w:cs="Arial" w:eastAsia="Arial" w:hAnsi="Arial"/>
                <w:sz w:val="16"/>
                <w:szCs w:val="16"/>
                <w:color w:val="auto"/>
              </w:rPr>
              <w:t>NVX</w:t>
            </w:r>
          </w:p>
        </w:tc>
        <w:tc>
          <w:tcPr>
            <w:tcW w:w="3580" w:type="dxa"/>
            <w:vAlign w:val="bottom"/>
          </w:tcPr>
          <w:p>
            <w:pPr>
              <w:ind w:left="520"/>
              <w:spacing w:after="0"/>
              <w:rPr>
                <w:sz w:val="20"/>
                <w:szCs w:val="20"/>
                <w:color w:val="auto"/>
              </w:rPr>
            </w:pPr>
            <w:r>
              <w:rPr>
                <w:rFonts w:ascii="Arial" w:cs="Arial" w:eastAsia="Arial" w:hAnsi="Arial"/>
                <w:sz w:val="16"/>
                <w:szCs w:val="16"/>
                <w:color w:val="auto"/>
              </w:rPr>
              <w:t>ORDINARY FULLY PAID</w:t>
            </w:r>
          </w:p>
        </w:tc>
        <w:tc>
          <w:tcPr>
            <w:tcW w:w="5460" w:type="dxa"/>
            <w:vAlign w:val="bottom"/>
            <w:tcBorders>
              <w:right w:val="single" w:sz="8" w:color="auto"/>
            </w:tcBorders>
          </w:tcPr>
          <w:p>
            <w:pPr>
              <w:jc w:val="right"/>
              <w:ind w:right="1100"/>
              <w:spacing w:after="0"/>
              <w:rPr>
                <w:sz w:val="20"/>
                <w:szCs w:val="20"/>
                <w:color w:val="auto"/>
              </w:rPr>
            </w:pPr>
            <w:r>
              <w:rPr>
                <w:rFonts w:ascii="Arial" w:cs="Arial" w:eastAsia="Arial" w:hAnsi="Arial"/>
                <w:sz w:val="16"/>
                <w:szCs w:val="16"/>
                <w:color w:val="auto"/>
              </w:rPr>
              <w:t>784,817 13/05/2026</w:t>
            </w:r>
          </w:p>
        </w:tc>
      </w:tr>
      <w:tr>
        <w:trPr>
          <w:trHeight w:val="313"/>
        </w:trPr>
        <w:tc>
          <w:tcPr>
            <w:tcW w:w="5780" w:type="dxa"/>
            <w:vAlign w:val="bottom"/>
            <w:tcBorders>
              <w:left w:val="single" w:sz="8" w:color="auto"/>
              <w:bottom w:val="single" w:sz="8" w:color="auto"/>
            </w:tcBorders>
            <w:gridSpan w:val="2"/>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208"/>
        </w:trPr>
        <w:tc>
          <w:tcPr>
            <w:tcW w:w="5780" w:type="dxa"/>
            <w:vAlign w:val="bottom"/>
            <w:gridSpan w:val="2"/>
          </w:tcPr>
          <w:p>
            <w:pPr>
              <w:ind w:left="600"/>
              <w:spacing w:after="0"/>
              <w:rPr>
                <w:sz w:val="20"/>
                <w:szCs w:val="20"/>
                <w:color w:val="auto"/>
              </w:rPr>
            </w:pPr>
            <w:r>
              <w:rPr>
                <w:rFonts w:ascii="Arial" w:cs="Arial" w:eastAsia="Arial" w:hAnsi="Arial"/>
                <w:sz w:val="16"/>
                <w:szCs w:val="16"/>
                <w:color w:val="auto"/>
              </w:rPr>
              <w:t>Refer to next page for full details of the announcement</w:t>
            </w:r>
          </w:p>
        </w:tc>
        <w:tc>
          <w:tcPr>
            <w:tcW w:w="5460" w:type="dxa"/>
            <w:vAlign w:val="bottom"/>
          </w:tcPr>
          <w:p>
            <w:pPr>
              <w:spacing w:after="0"/>
              <w:rPr>
                <w:sz w:val="18"/>
                <w:szCs w:val="18"/>
                <w:color w:val="auto"/>
              </w:rPr>
            </w:pPr>
          </w:p>
        </w:tc>
      </w:tr>
      <w:tr>
        <w:trPr>
          <w:trHeight w:val="217"/>
        </w:trPr>
        <w:tc>
          <w:tcPr>
            <w:tcW w:w="5780" w:type="dxa"/>
            <w:vAlign w:val="bottom"/>
            <w:tcBorders>
              <w:bottom w:val="single" w:sz="8" w:color="7F7F7F"/>
            </w:tcBorders>
            <w:gridSpan w:val="2"/>
          </w:tcPr>
          <w:p>
            <w:pPr>
              <w:spacing w:after="0"/>
              <w:rPr>
                <w:sz w:val="18"/>
                <w:szCs w:val="18"/>
                <w:color w:val="auto"/>
              </w:rPr>
            </w:pPr>
          </w:p>
        </w:tc>
        <w:tc>
          <w:tcPr>
            <w:tcW w:w="5460" w:type="dxa"/>
            <w:vAlign w:val="bottom"/>
            <w:tcBorders>
              <w:bottom w:val="single" w:sz="8" w:color="7F7F7F"/>
            </w:tcBorders>
          </w:tcPr>
          <w:p>
            <w:pPr>
              <w:spacing w:after="0"/>
              <w:rPr>
                <w:sz w:val="18"/>
                <w:szCs w:val="18"/>
                <w:color w:val="auto"/>
              </w:rPr>
            </w:pPr>
          </w:p>
        </w:tc>
      </w:tr>
      <w:tr>
        <w:trPr>
          <w:trHeight w:val="261"/>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5460" w:type="dxa"/>
            <w:vAlign w:val="bottom"/>
          </w:tcPr>
          <w:p>
            <w:pPr>
              <w:jc w:val="right"/>
              <w:spacing w:after="0"/>
              <w:rPr>
                <w:sz w:val="20"/>
                <w:szCs w:val="20"/>
                <w:color w:val="auto"/>
              </w:rPr>
            </w:pPr>
            <w:r>
              <w:rPr>
                <w:rFonts w:ascii="Arial" w:cs="Arial" w:eastAsia="Arial" w:hAnsi="Arial"/>
                <w:sz w:val="15"/>
                <w:szCs w:val="15"/>
                <w:color w:val="auto"/>
              </w:rPr>
              <w:t>1 / 6</w:t>
            </w:r>
          </w:p>
        </w:tc>
      </w:tr>
      <w:tr>
        <w:trPr>
          <w:trHeight w:val="522"/>
        </w:trPr>
        <w:tc>
          <w:tcPr>
            <w:tcW w:w="22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23114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1 - Entity and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right="340"/>
        <w:spacing w:after="0" w:line="286" w:lineRule="auto"/>
        <w:rPr>
          <w:sz w:val="20"/>
          <w:szCs w:val="20"/>
          <w:color w:val="auto"/>
        </w:rPr>
      </w:pPr>
      <w:r>
        <w:rPr>
          <w:rFonts w:ascii="Arial" w:cs="Arial" w:eastAsia="Arial" w:hAnsi="Arial"/>
          <w:sz w:val="16"/>
          <w:szCs w:val="16"/>
          <w:color w:val="auto"/>
        </w:rPr>
        <w:t>We (the entity named above) apply for +quotation of the following +securities and agree to the matters set out in Appendix 2A of the ASX Listing Rules.</w:t>
      </w:r>
    </w:p>
    <w:p>
      <w:pPr>
        <w:sectPr>
          <w:pgSz w:w="11900" w:h="16838" w:orient="portrait"/>
          <w:cols w:equalWidth="0" w:num="1">
            <w:col w:w="11240"/>
          </w:cols>
          <w:pgMar w:left="320" w:top="490" w:right="339" w:bottom="1440" w:gutter="0" w:footer="0" w:header="0"/>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00" w:lineRule="exact"/>
        <w:rPr>
          <w:sz w:val="20"/>
          <w:szCs w:val="20"/>
          <w:color w:val="auto"/>
        </w:rPr>
      </w:pPr>
    </w:p>
    <w:p>
      <w:pPr>
        <w:sectPr>
          <w:pgSz w:w="11900" w:h="16838" w:orient="portrait"/>
          <w:cols w:equalWidth="0" w:num="2">
            <w:col w:w="5020" w:space="720"/>
            <w:col w:w="5500"/>
          </w:cols>
          <w:pgMar w:left="320" w:top="490" w:right="3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ABN</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5020" w:space="720"/>
            <w:col w:w="5500"/>
          </w:cols>
          <w:pgMar w:left="320" w:top="490" w:right="339" w:bottom="1440" w:gutter="0" w:footer="0" w:header="0"/>
          <w:type w:val="continuous"/>
        </w:sect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13/5/2026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2 / 6</w:t>
            </w:r>
          </w:p>
        </w:tc>
      </w:tr>
      <w:tr>
        <w:trPr>
          <w:trHeight w:val="509"/>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5" w:name="page6"/>
    <w:bookmarkEnd w:id="5"/>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Type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59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2.1 The +securities to be quoted are:</w:t>
      </w:r>
    </w:p>
    <w:p>
      <w:pPr>
        <w:spacing w:after="0" w:line="21" w:lineRule="exact"/>
        <w:rPr>
          <w:sz w:val="20"/>
          <w:szCs w:val="20"/>
          <w:color w:val="auto"/>
        </w:rPr>
      </w:pPr>
    </w:p>
    <w:p>
      <w:pPr>
        <w:ind w:left="600" w:right="1180"/>
        <w:spacing w:after="0" w:line="352" w:lineRule="auto"/>
        <w:rPr>
          <w:sz w:val="20"/>
          <w:szCs w:val="20"/>
          <w:color w:val="auto"/>
        </w:rPr>
      </w:pPr>
      <w:r>
        <w:rPr>
          <w:rFonts w:ascii="Arial" w:cs="Arial" w:eastAsia="Arial" w:hAnsi="Arial"/>
          <w:sz w:val="16"/>
          <w:szCs w:val="16"/>
          <w:color w:val="auto"/>
        </w:rPr>
        <w:t xml:space="preserve">+Securities issued, transferred or re-classified as a result of options being exercised or other +convertible securities being converted </w:t>
      </w:r>
      <w:r>
        <w:rPr>
          <w:rFonts w:ascii="Arial" w:cs="Arial" w:eastAsia="Arial" w:hAnsi="Arial"/>
          <w:sz w:val="16"/>
          <w:szCs w:val="16"/>
          <w:b w:val="1"/>
          <w:bCs w:val="1"/>
          <w:color w:val="auto"/>
        </w:rPr>
        <w:t>2.2 The +class of +securities to be quoted is:</w:t>
      </w:r>
    </w:p>
    <w:p>
      <w:pPr>
        <w:ind w:left="600"/>
        <w:spacing w:after="0"/>
        <w:rPr>
          <w:sz w:val="20"/>
          <w:szCs w:val="20"/>
          <w:color w:val="auto"/>
        </w:rPr>
      </w:pPr>
      <w:r>
        <w:rPr>
          <w:rFonts w:ascii="Arial" w:cs="Arial" w:eastAsia="Arial" w:hAnsi="Arial"/>
          <w:sz w:val="16"/>
          <w:szCs w:val="16"/>
          <w:color w:val="auto"/>
        </w:rPr>
        <w:t>Additional +securities in a class that is already quoted on ASX ("existing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3 / 6</w:t>
            </w:r>
          </w:p>
        </w:tc>
      </w:tr>
      <w:tr>
        <w:trPr>
          <w:trHeight w:val="522"/>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 w:name="page7"/>
    <w:bookmarkEnd w:id="6"/>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3B - number and type of +securities to be quoted (existing class) where issue has not previously been notified to ASX in an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09" w:lineRule="exact"/>
        <w:rPr>
          <w:sz w:val="20"/>
          <w:szCs w:val="20"/>
          <w:color w:val="auto"/>
        </w:rPr>
      </w:pPr>
    </w:p>
    <w:p>
      <w:pPr>
        <w:ind w:left="640" w:right="4100"/>
        <w:spacing w:after="0" w:line="265" w:lineRule="auto"/>
        <w:rPr>
          <w:sz w:val="20"/>
          <w:szCs w:val="20"/>
          <w:color w:val="auto"/>
        </w:rPr>
      </w:pPr>
      <w:r>
        <w:rPr>
          <w:rFonts w:ascii="Arial" w:cs="Arial" w:eastAsia="Arial" w:hAnsi="Arial"/>
          <w:sz w:val="16"/>
          <w:szCs w:val="16"/>
          <w:b w:val="1"/>
          <w:bCs w:val="1"/>
          <w:color w:val="auto"/>
        </w:rPr>
        <w:t>Existing +securities converting into additional +securities in an existing class FROM (Existing Class)</w:t>
      </w:r>
    </w:p>
    <w:p>
      <w:pPr>
        <w:sectPr>
          <w:pgSz w:w="11900" w:h="16838" w:orient="portrait"/>
          <w:cols w:equalWidth="0" w:num="1">
            <w:col w:w="11240"/>
          </w:cols>
          <w:pgMar w:left="320" w:top="490" w:right="339" w:bottom="1440" w:gutter="0" w:footer="0" w:header="0"/>
        </w:sectPr>
      </w:pPr>
    </w:p>
    <w:p>
      <w:pPr>
        <w:spacing w:after="0" w:line="1" w:lineRule="exact"/>
        <w:rPr>
          <w:sz w:val="20"/>
          <w:szCs w:val="20"/>
          <w:color w:val="auto"/>
        </w:rPr>
      </w:pPr>
    </w:p>
    <w:p>
      <w:pPr>
        <w:ind w:left="640" w:right="120"/>
        <w:spacing w:after="0" w:line="388" w:lineRule="auto"/>
        <w:rPr>
          <w:sz w:val="20"/>
          <w:szCs w:val="20"/>
          <w:color w:val="auto"/>
        </w:rPr>
      </w:pPr>
      <w:r>
        <w:rPr>
          <w:rFonts w:ascii="Arial" w:cs="Arial" w:eastAsia="Arial" w:hAnsi="Arial"/>
          <w:sz w:val="16"/>
          <w:szCs w:val="16"/>
          <w:b w:val="1"/>
          <w:bCs w:val="1"/>
          <w:color w:val="auto"/>
        </w:rPr>
        <w:t xml:space="preserve">ASX +security code and description </w:t>
      </w:r>
      <w:r>
        <w:rPr>
          <w:rFonts w:ascii="Arial" w:cs="Arial" w:eastAsia="Arial" w:hAnsi="Arial"/>
          <w:sz w:val="16"/>
          <w:szCs w:val="16"/>
          <w:color w:val="auto"/>
        </w:rPr>
        <w:t>NVX:AD : PERFORMANCE RIGHTS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TO (Existing Class)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ASX +security code and description</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NVX : ORDINARY FULLY PAID</w:t>
      </w:r>
    </w:p>
    <w:p>
      <w:pPr>
        <w:spacing w:after="0" w:line="262" w:lineRule="exact"/>
        <w:rPr>
          <w:sz w:val="20"/>
          <w:szCs w:val="20"/>
          <w:color w:val="auto"/>
        </w:rPr>
      </w:pPr>
    </w:p>
    <w:p>
      <w:pPr>
        <w:ind w:left="660" w:right="200"/>
        <w:spacing w:after="0" w:line="263" w:lineRule="auto"/>
        <w:rPr>
          <w:sz w:val="20"/>
          <w:szCs w:val="20"/>
          <w:color w:val="auto"/>
        </w:rPr>
      </w:pPr>
      <w:r>
        <w:rPr>
          <w:rFonts w:ascii="Arial" w:cs="Arial" w:eastAsia="Arial" w:hAnsi="Arial"/>
          <w:sz w:val="16"/>
          <w:szCs w:val="16"/>
          <w:b w:val="1"/>
          <w:bCs w:val="1"/>
          <w:color w:val="auto"/>
        </w:rPr>
        <w:t>Please state the number of options that were exercised or other +convertible securities that were converted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4,687,512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b w:val="1"/>
          <w:bCs w:val="1"/>
          <w:color w:val="auto"/>
        </w:rPr>
        <w:t>The first date the options were exercised or other +convertible securities were converted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13/5/2026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220"/>
        <w:spacing w:after="0" w:line="271" w:lineRule="auto"/>
        <w:rPr>
          <w:sz w:val="20"/>
          <w:szCs w:val="20"/>
          <w:color w:val="auto"/>
        </w:rPr>
      </w:pPr>
      <w:r>
        <w:rPr>
          <w:rFonts w:ascii="Arial" w:cs="Arial" w:eastAsia="Arial" w:hAnsi="Arial"/>
          <w:sz w:val="16"/>
          <w:szCs w:val="16"/>
          <w:b w:val="1"/>
          <w:bCs w:val="1"/>
          <w:color w:val="auto"/>
        </w:rPr>
        <w:t>The last date the options were exercised or other +convertible securities were converted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13/5/2026</w:t>
      </w:r>
    </w:p>
    <w:p>
      <w:pPr>
        <w:spacing w:after="0" w:line="388" w:lineRule="exact"/>
        <w:rPr>
          <w:sz w:val="20"/>
          <w:szCs w:val="20"/>
          <w:color w:val="auto"/>
        </w:rPr>
      </w:pPr>
    </w:p>
    <w:p>
      <w:pPr>
        <w:sectPr>
          <w:pgSz w:w="11900" w:h="16838" w:orient="portrait"/>
          <w:cols w:equalWidth="0" w:num="3">
            <w:col w:w="3540" w:space="720"/>
            <w:col w:w="2640" w:space="720"/>
            <w:col w:w="3620"/>
          </w:cols>
          <w:pgMar w:left="320" w:top="490" w:right="339" w:bottom="1440" w:gutter="0" w:footer="0" w:header="0"/>
          <w:type w:val="continuous"/>
        </w:sectPr>
      </w:pPr>
    </w:p>
    <w:p>
      <w:pPr>
        <w:spacing w:after="0" w:line="237" w:lineRule="exact"/>
        <w:rPr>
          <w:sz w:val="20"/>
          <w:szCs w:val="20"/>
          <w:color w:val="auto"/>
        </w:rPr>
      </w:pPr>
    </w:p>
    <w:p>
      <w:pPr>
        <w:ind w:left="640" w:right="320"/>
        <w:spacing w:after="0" w:line="256" w:lineRule="auto"/>
        <w:rPr>
          <w:sz w:val="20"/>
          <w:szCs w:val="20"/>
          <w:color w:val="auto"/>
        </w:rPr>
      </w:pPr>
      <w:r>
        <w:rPr>
          <w:rFonts w:ascii="Arial" w:cs="Arial" w:eastAsia="Arial" w:hAnsi="Arial"/>
          <w:sz w:val="16"/>
          <w:szCs w:val="16"/>
          <w:b w:val="1"/>
          <w:bCs w:val="1"/>
          <w:color w:val="auto"/>
        </w:rPr>
        <w:t>Is this all of the options or other +convertible securities on issue of that type (ie have all of those options now been exercised or have all of those convertible securities now been converted)?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right of the holder of the options or other +convertible securities to receive the +underlying securities is being satisfied by: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 issue of new +securities</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underlying +securities being received by the holder are: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Intended to be, but are not yet, quoted by ASX</w:t>
      </w:r>
    </w:p>
    <w:p>
      <w:pPr>
        <w:spacing w:after="0" w:line="30" w:lineRule="exact"/>
        <w:rPr>
          <w:sz w:val="20"/>
          <w:szCs w:val="20"/>
          <w:color w:val="auto"/>
        </w:rPr>
      </w:pPr>
    </w:p>
    <w:p>
      <w:pPr>
        <w:ind w:left="640" w:right="580"/>
        <w:spacing w:after="0" w:line="256" w:lineRule="auto"/>
        <w:rPr>
          <w:sz w:val="20"/>
          <w:szCs w:val="20"/>
          <w:color w:val="auto"/>
        </w:rPr>
      </w:pPr>
      <w:r>
        <w:rPr>
          <w:rFonts w:ascii="Arial" w:cs="Arial" w:eastAsia="Arial" w:hAnsi="Arial"/>
          <w:sz w:val="16"/>
          <w:szCs w:val="16"/>
          <w:b w:val="1"/>
          <w:bCs w:val="1"/>
          <w:color w:val="auto"/>
        </w:rPr>
        <w:t xml:space="preserve">Were the options being exercised or other +convertible securities being converted issued under an +employee incentive scheme? </w:t>
      </w:r>
      <w:r>
        <w:rPr>
          <w:rFonts w:ascii="Arial" w:cs="Arial" w:eastAsia="Arial" w:hAnsi="Arial"/>
          <w:sz w:val="16"/>
          <w:szCs w:val="16"/>
          <w:color w:val="auto"/>
        </w:rPr>
        <w:t>Yes</w:t>
      </w:r>
    </w:p>
    <w:p>
      <w:pPr>
        <w:spacing w:after="0" w:line="1" w:lineRule="exact"/>
        <w:rPr>
          <w:sz w:val="20"/>
          <w:szCs w:val="20"/>
          <w:color w:val="auto"/>
        </w:rPr>
      </w:pPr>
    </w:p>
    <w:p>
      <w:pPr>
        <w:ind w:left="640" w:right="20"/>
        <w:spacing w:after="0" w:line="262" w:lineRule="auto"/>
        <w:rPr>
          <w:sz w:val="20"/>
          <w:szCs w:val="20"/>
          <w:color w:val="auto"/>
        </w:rPr>
      </w:pPr>
      <w:r>
        <w:rPr>
          <w:rFonts w:ascii="Arial" w:cs="Arial" w:eastAsia="Arial" w:hAnsi="Arial"/>
          <w:sz w:val="16"/>
          <w:szCs w:val="16"/>
          <w:b w:val="1"/>
          <w:bCs w:val="1"/>
          <w:color w:val="auto"/>
        </w:rPr>
        <w:t>Are any of the options being exercised or other +convertible securities being converted held by +key managemetn personnel (KMP) or an +associate?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Issue date</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13/5/2026</w:t>
      </w:r>
    </w:p>
    <w:p>
      <w:pPr>
        <w:spacing w:after="0" w:line="154" w:lineRule="exact"/>
        <w:rPr>
          <w:sz w:val="20"/>
          <w:szCs w:val="20"/>
          <w:color w:val="auto"/>
        </w:rPr>
      </w:pPr>
    </w:p>
    <w:p>
      <w:pPr>
        <w:ind w:left="640" w:right="2480"/>
        <w:spacing w:after="0" w:line="256" w:lineRule="auto"/>
        <w:rPr>
          <w:sz w:val="20"/>
          <w:szCs w:val="20"/>
          <w:color w:val="auto"/>
        </w:rPr>
      </w:pPr>
      <w:r>
        <w:rPr>
          <w:rFonts w:ascii="Arial" w:cs="Arial" w:eastAsia="Arial" w:hAnsi="Arial"/>
          <w:sz w:val="16"/>
          <w:szCs w:val="16"/>
          <w:b w:val="1"/>
          <w:bCs w:val="1"/>
          <w:color w:val="auto"/>
        </w:rPr>
        <w:t>Will the +securities to be quoted rank equally in all respects from their issue date with the existing issued +securities in that class?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4 / 6</w:t>
            </w:r>
          </w:p>
        </w:tc>
      </w:tr>
      <w:tr>
        <w:trPr>
          <w:trHeight w:val="508"/>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7" w:name="page8"/>
    <w:bookmarkEnd w:id="7"/>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158115</wp:posOffset>
            </wp:positionV>
            <wp:extent cx="7029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 +securities to be quoted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784,817</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Are the +securities being issued for a cash consideration?</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167" w:lineRule="exact"/>
        <w:rPr>
          <w:sz w:val="20"/>
          <w:szCs w:val="20"/>
          <w:color w:val="auto"/>
        </w:rPr>
      </w:pPr>
    </w:p>
    <w:p>
      <w:pPr>
        <w:jc w:val="right"/>
        <w:ind w:right="5320"/>
        <w:spacing w:after="0"/>
        <w:rPr>
          <w:sz w:val="20"/>
          <w:szCs w:val="20"/>
          <w:color w:val="auto"/>
        </w:rPr>
      </w:pPr>
      <w:r>
        <w:rPr>
          <w:rFonts w:ascii="Arial" w:cs="Arial" w:eastAsia="Arial" w:hAnsi="Arial"/>
          <w:sz w:val="16"/>
          <w:szCs w:val="16"/>
          <w:b w:val="1"/>
          <w:bCs w:val="1"/>
          <w:color w:val="auto"/>
        </w:rPr>
        <w:t>Please describe the consideration being provided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416040" cy="209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6040" cy="209550"/>
                    </a:xfrm>
                    <a:prstGeom prst="rect">
                      <a:avLst/>
                    </a:prstGeom>
                    <a:noFill/>
                  </pic:spPr>
                </pic:pic>
              </a:graphicData>
            </a:graphic>
          </wp:anchor>
        </w:drawing>
      </w:r>
    </w:p>
    <w:p>
      <w:pPr>
        <w:spacing w:after="0" w:line="93" w:lineRule="exact"/>
        <w:rPr>
          <w:sz w:val="20"/>
          <w:szCs w:val="20"/>
          <w:color w:val="auto"/>
        </w:rPr>
      </w:pPr>
    </w:p>
    <w:p>
      <w:pPr>
        <w:jc w:val="right"/>
        <w:ind w:right="5380"/>
        <w:spacing w:after="0"/>
        <w:rPr>
          <w:sz w:val="20"/>
          <w:szCs w:val="20"/>
          <w:color w:val="auto"/>
        </w:rPr>
      </w:pPr>
      <w:r>
        <w:rPr>
          <w:rFonts w:ascii="Arial" w:cs="Arial" w:eastAsia="Arial" w:hAnsi="Arial"/>
          <w:sz w:val="16"/>
          <w:szCs w:val="16"/>
          <w:color w:val="auto"/>
        </w:rPr>
        <w:t>Issue of ordinary shares on the vesting of employee performance rights.</w:t>
      </w:r>
    </w:p>
    <w:p>
      <w:pPr>
        <w:spacing w:after="0" w:line="127" w:lineRule="exact"/>
        <w:rPr>
          <w:sz w:val="20"/>
          <w:szCs w:val="20"/>
          <w:color w:val="auto"/>
        </w:rPr>
      </w:pPr>
    </w:p>
    <w:p>
      <w:pPr>
        <w:ind w:left="640" w:right="2460"/>
        <w:spacing w:after="0" w:line="296" w:lineRule="auto"/>
        <w:rPr>
          <w:sz w:val="20"/>
          <w:szCs w:val="20"/>
          <w:color w:val="auto"/>
        </w:rPr>
      </w:pPr>
      <w:r>
        <w:rPr>
          <w:rFonts w:ascii="Arial" w:cs="Arial" w:eastAsia="Arial" w:hAnsi="Arial"/>
          <w:sz w:val="16"/>
          <w:szCs w:val="16"/>
          <w:b w:val="1"/>
          <w:bCs w:val="1"/>
          <w:color w:val="auto"/>
        </w:rPr>
        <w:t>Please provide an estimate (in AUD) of the value of the consideration being provided per +security for the +securities to be quoted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0.235000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Any other information the entity wishes to provide about the +securities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35560</wp:posOffset>
            </wp:positionV>
            <wp:extent cx="6416040" cy="210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6040" cy="210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3900" w:type="dxa"/>
            <w:vAlign w:val="bottom"/>
          </w:tcPr>
          <w:p>
            <w:pPr>
              <w:jc w:val="right"/>
              <w:spacing w:after="0"/>
              <w:rPr>
                <w:sz w:val="20"/>
                <w:szCs w:val="20"/>
                <w:color w:val="auto"/>
              </w:rPr>
            </w:pPr>
            <w:r>
              <w:rPr>
                <w:rFonts w:ascii="Arial" w:cs="Arial" w:eastAsia="Arial" w:hAnsi="Arial"/>
                <w:sz w:val="15"/>
                <w:szCs w:val="15"/>
                <w:color w:val="auto"/>
              </w:rPr>
              <w:t>5 / 6</w:t>
            </w:r>
          </w:p>
        </w:tc>
      </w:tr>
      <w:tr>
        <w:trPr>
          <w:trHeight w:val="522"/>
        </w:trPr>
        <w:tc>
          <w:tcPr>
            <w:tcW w:w="73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 w:name="page9"/>
    <w:bookmarkEnd w:id="8"/>
    <w:p>
      <w:pPr>
        <w:ind w:left="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23114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2A - Application for quotation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4 - Issued capital following quotation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305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Following the quotation of the +securities the subject of this application, the issued capital of the entity will comprise:</w:t>
      </w:r>
    </w:p>
    <w:p>
      <w:pPr>
        <w:spacing w:after="0" w:line="86"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figures in parts 4.1 and 4.2 below are automatically generated and may not reflect the entity's current issued capital if other Appendix 2A, Appendix 3G or Appendix 3H forms are currently with ASX for processing.</w:t>
      </w:r>
    </w:p>
    <w:p>
      <w:pPr>
        <w:spacing w:after="0" w:line="48" w:lineRule="exact"/>
        <w:rPr>
          <w:sz w:val="20"/>
          <w:szCs w:val="20"/>
          <w:color w:val="auto"/>
        </w:rPr>
      </w:pPr>
    </w:p>
    <w:p>
      <w:pPr>
        <w:ind w:left="600" w:right="1960"/>
        <w:spacing w:after="0" w:line="296" w:lineRule="auto"/>
        <w:rPr>
          <w:sz w:val="20"/>
          <w:szCs w:val="20"/>
          <w:color w:val="auto"/>
        </w:rPr>
      </w:pPr>
      <w:r>
        <w:rPr>
          <w:rFonts w:ascii="Arial" w:cs="Arial" w:eastAsia="Arial" w:hAnsi="Arial"/>
          <w:sz w:val="16"/>
          <w:szCs w:val="16"/>
          <w:b w:val="1"/>
          <w:bCs w:val="1"/>
          <w:color w:val="auto"/>
        </w:rPr>
        <w:t>4.1 Quoted +securities (total number of each +class of +securities quoted on ASX following the +quotation of the +securities subject of this application)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60" w:type="dxa"/>
            <w:vAlign w:val="bottom"/>
          </w:tcPr>
          <w:p>
            <w:pPr>
              <w:spacing w:after="0"/>
              <w:rPr>
                <w:sz w:val="17"/>
                <w:szCs w:val="17"/>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r>
      <w:tr>
        <w:trPr>
          <w:trHeight w:val="223"/>
        </w:trPr>
        <w:tc>
          <w:tcPr>
            <w:tcW w:w="8860" w:type="dxa"/>
            <w:vAlign w:val="bottom"/>
          </w:tcPr>
          <w:p>
            <w:pPr>
              <w:ind w:left="660"/>
              <w:spacing w:after="0"/>
              <w:rPr>
                <w:sz w:val="20"/>
                <w:szCs w:val="20"/>
                <w:color w:val="auto"/>
              </w:rPr>
            </w:pPr>
            <w:r>
              <w:rPr>
                <w:rFonts w:ascii="Arial" w:cs="Arial" w:eastAsia="Arial" w:hAnsi="Arial"/>
                <w:sz w:val="16"/>
                <w:szCs w:val="16"/>
                <w:b w:val="1"/>
                <w:bCs w:val="1"/>
                <w:color w:val="auto"/>
              </w:rPr>
              <w:t>ASX +security code and description</w:t>
            </w: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+securities on issue</w:t>
            </w:r>
          </w:p>
        </w:tc>
      </w:tr>
      <w:tr>
        <w:trPr>
          <w:trHeight w:val="640"/>
        </w:trPr>
        <w:tc>
          <w:tcPr>
            <w:tcW w:w="8860" w:type="dxa"/>
            <w:vAlign w:val="bottom"/>
          </w:tcPr>
          <w:p>
            <w:pPr>
              <w:ind w:left="660"/>
              <w:spacing w:after="0"/>
              <w:rPr>
                <w:sz w:val="20"/>
                <w:szCs w:val="20"/>
                <w:color w:val="auto"/>
              </w:rPr>
            </w:pPr>
            <w:r>
              <w:rPr>
                <w:rFonts w:ascii="Arial" w:cs="Arial" w:eastAsia="Arial" w:hAnsi="Arial"/>
                <w:sz w:val="16"/>
                <w:szCs w:val="16"/>
                <w:color w:val="auto"/>
              </w:rPr>
              <w:t>NVX : ORDINARY FULLY PAID</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862,227,757</w:t>
            </w:r>
          </w:p>
        </w:tc>
      </w:tr>
      <w:tr>
        <w:trPr>
          <w:trHeight w:val="710"/>
        </w:trPr>
        <w:tc>
          <w:tcPr>
            <w:tcW w:w="8860" w:type="dxa"/>
            <w:vAlign w:val="bottom"/>
          </w:tcPr>
          <w:p>
            <w:pPr>
              <w:ind w:left="600"/>
              <w:spacing w:after="0"/>
              <w:rPr>
                <w:sz w:val="20"/>
                <w:szCs w:val="20"/>
                <w:color w:val="auto"/>
              </w:rPr>
            </w:pPr>
            <w:r>
              <w:rPr>
                <w:rFonts w:ascii="Arial" w:cs="Arial" w:eastAsia="Arial" w:hAnsi="Arial"/>
                <w:sz w:val="16"/>
                <w:szCs w:val="16"/>
                <w:b w:val="1"/>
                <w:bCs w:val="1"/>
                <w:color w:val="auto"/>
              </w:rPr>
              <w:t>4.2 Unquoted +securities (total number of each +class of +securities issued but not quoted on ASX)</w:t>
            </w:r>
          </w:p>
        </w:tc>
        <w:tc>
          <w:tcPr>
            <w:tcW w:w="2380" w:type="dxa"/>
            <w:vAlign w:val="bottom"/>
          </w:tcPr>
          <w:p>
            <w:pPr>
              <w:spacing w:after="0"/>
              <w:rPr>
                <w:sz w:val="24"/>
                <w:szCs w:val="24"/>
                <w:color w:val="auto"/>
              </w:rPr>
            </w:pPr>
          </w:p>
        </w:tc>
      </w:tr>
      <w:tr>
        <w:trPr>
          <w:trHeight w:val="331"/>
        </w:trPr>
        <w:tc>
          <w:tcPr>
            <w:tcW w:w="8860" w:type="dxa"/>
            <w:vAlign w:val="bottom"/>
          </w:tcPr>
          <w:p>
            <w:pPr>
              <w:spacing w:after="0"/>
              <w:rPr>
                <w:sz w:val="24"/>
                <w:szCs w:val="24"/>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r>
      <w:tr>
        <w:trPr>
          <w:trHeight w:val="223"/>
        </w:trPr>
        <w:tc>
          <w:tcPr>
            <w:tcW w:w="8860" w:type="dxa"/>
            <w:vAlign w:val="bottom"/>
          </w:tcPr>
          <w:p>
            <w:pPr>
              <w:ind w:left="660"/>
              <w:spacing w:after="0"/>
              <w:rPr>
                <w:sz w:val="20"/>
                <w:szCs w:val="20"/>
                <w:color w:val="auto"/>
              </w:rPr>
            </w:pPr>
            <w:r>
              <w:rPr>
                <w:rFonts w:ascii="Arial" w:cs="Arial" w:eastAsia="Arial" w:hAnsi="Arial"/>
                <w:sz w:val="16"/>
                <w:szCs w:val="16"/>
                <w:b w:val="1"/>
                <w:bCs w:val="1"/>
                <w:color w:val="auto"/>
              </w:rPr>
              <w:t>ASX +security code and description</w:t>
            </w: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auto"/>
              </w:rPr>
              <w:t>+securities on issue</w:t>
            </w:r>
          </w:p>
        </w:tc>
      </w:tr>
      <w:tr>
        <w:trPr>
          <w:trHeight w:val="464"/>
        </w:trPr>
        <w:tc>
          <w:tcPr>
            <w:tcW w:w="8860" w:type="dxa"/>
            <w:vAlign w:val="bottom"/>
          </w:tcPr>
          <w:p>
            <w:pPr>
              <w:ind w:left="660"/>
              <w:spacing w:after="0"/>
              <w:rPr>
                <w:sz w:val="20"/>
                <w:szCs w:val="20"/>
                <w:color w:val="auto"/>
              </w:rPr>
            </w:pPr>
            <w:r>
              <w:rPr>
                <w:rFonts w:ascii="Arial" w:cs="Arial" w:eastAsia="Arial" w:hAnsi="Arial"/>
                <w:sz w:val="16"/>
                <w:szCs w:val="16"/>
                <w:color w:val="auto"/>
              </w:rPr>
              <w:t>NVXAD : PERFORMANCE RIGHTS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30,334,263</w:t>
            </w:r>
          </w:p>
        </w:tc>
      </w:tr>
      <w:tr>
        <w:trPr>
          <w:trHeight w:val="473"/>
        </w:trPr>
        <w:tc>
          <w:tcPr>
            <w:tcW w:w="8860" w:type="dxa"/>
            <w:vAlign w:val="bottom"/>
          </w:tcPr>
          <w:p>
            <w:pPr>
              <w:ind w:left="660"/>
              <w:spacing w:after="0"/>
              <w:rPr>
                <w:sz w:val="20"/>
                <w:szCs w:val="20"/>
                <w:color w:val="auto"/>
              </w:rPr>
            </w:pPr>
            <w:r>
              <w:rPr>
                <w:rFonts w:ascii="Arial" w:cs="Arial" w:eastAsia="Arial" w:hAnsi="Arial"/>
                <w:sz w:val="16"/>
                <w:szCs w:val="16"/>
                <w:color w:val="auto"/>
              </w:rPr>
              <w:t>NVXAA : OPTION EXPIRING VARIOUS DATES EX VARIOUS PRICES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14,016,667</w:t>
            </w:r>
          </w:p>
        </w:tc>
      </w:tr>
      <w:tr>
        <w:trPr>
          <w:trHeight w:val="473"/>
        </w:trPr>
        <w:tc>
          <w:tcPr>
            <w:tcW w:w="8860" w:type="dxa"/>
            <w:vAlign w:val="bottom"/>
          </w:tcPr>
          <w:p>
            <w:pPr>
              <w:ind w:left="660"/>
              <w:spacing w:after="0"/>
              <w:rPr>
                <w:sz w:val="20"/>
                <w:szCs w:val="20"/>
                <w:color w:val="auto"/>
              </w:rPr>
            </w:pPr>
            <w:r>
              <w:rPr>
                <w:rFonts w:ascii="Arial" w:cs="Arial" w:eastAsia="Arial" w:hAnsi="Arial"/>
                <w:sz w:val="16"/>
                <w:szCs w:val="16"/>
                <w:color w:val="auto"/>
              </w:rPr>
              <w:t>NVXAM : SHARE RIGHTS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1,371,566</w:t>
            </w:r>
          </w:p>
        </w:tc>
      </w:tr>
      <w:tr>
        <w:trPr>
          <w:trHeight w:val="473"/>
        </w:trPr>
        <w:tc>
          <w:tcPr>
            <w:tcW w:w="8860" w:type="dxa"/>
            <w:vAlign w:val="bottom"/>
          </w:tcPr>
          <w:p>
            <w:pPr>
              <w:ind w:left="660"/>
              <w:spacing w:after="0"/>
              <w:rPr>
                <w:sz w:val="20"/>
                <w:szCs w:val="20"/>
                <w:color w:val="auto"/>
              </w:rPr>
            </w:pPr>
            <w:r>
              <w:rPr>
                <w:rFonts w:ascii="Arial" w:cs="Arial" w:eastAsia="Arial" w:hAnsi="Arial"/>
                <w:sz w:val="16"/>
                <w:szCs w:val="16"/>
                <w:color w:val="auto"/>
              </w:rPr>
              <w:t>NVXAL : CONVERTIBLE NOTES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45,221,586</w:t>
            </w:r>
          </w:p>
        </w:tc>
      </w:tr>
      <w:tr>
        <w:trPr>
          <w:trHeight w:val="378"/>
        </w:trPr>
        <w:tc>
          <w:tcPr>
            <w:tcW w:w="8860" w:type="dxa"/>
            <w:vAlign w:val="bottom"/>
          </w:tcPr>
          <w:p>
            <w:pPr>
              <w:ind w:left="660"/>
              <w:spacing w:after="0"/>
              <w:rPr>
                <w:sz w:val="20"/>
                <w:szCs w:val="20"/>
                <w:color w:val="auto"/>
              </w:rPr>
            </w:pPr>
            <w:r>
              <w:rPr>
                <w:rFonts w:ascii="Arial" w:cs="Arial" w:eastAsia="Arial" w:hAnsi="Arial"/>
                <w:sz w:val="16"/>
                <w:szCs w:val="16"/>
                <w:color w:val="auto"/>
              </w:rPr>
              <w:t>NVXAH : CONVERTIBLE DEBENTURES</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35,000,000</w:t>
            </w:r>
          </w:p>
        </w:tc>
      </w:tr>
      <w:tr>
        <w:trPr>
          <w:trHeight w:val="434"/>
        </w:trPr>
        <w:tc>
          <w:tcPr>
            <w:tcW w:w="8860" w:type="dxa"/>
            <w:vAlign w:val="bottom"/>
            <w:tcBorders>
              <w:bottom w:val="single" w:sz="8" w:color="7F7F7F"/>
            </w:tcBorders>
          </w:tcPr>
          <w:p>
            <w:pPr>
              <w:spacing w:after="0"/>
              <w:rPr>
                <w:sz w:val="24"/>
                <w:szCs w:val="24"/>
                <w:color w:val="auto"/>
              </w:rPr>
            </w:pPr>
          </w:p>
        </w:tc>
        <w:tc>
          <w:tcPr>
            <w:tcW w:w="2380" w:type="dxa"/>
            <w:vAlign w:val="bottom"/>
            <w:tcBorders>
              <w:bottom w:val="single" w:sz="8" w:color="7F7F7F"/>
            </w:tcBorders>
          </w:tcPr>
          <w:p>
            <w:pPr>
              <w:spacing w:after="0"/>
              <w:rPr>
                <w:sz w:val="24"/>
                <w:szCs w:val="24"/>
                <w:color w:val="auto"/>
              </w:rPr>
            </w:pPr>
          </w:p>
        </w:tc>
      </w:tr>
      <w:tr>
        <w:trPr>
          <w:trHeight w:val="262"/>
        </w:trPr>
        <w:tc>
          <w:tcPr>
            <w:tcW w:w="8860" w:type="dxa"/>
            <w:vAlign w:val="bottom"/>
          </w:tcPr>
          <w:p>
            <w:pPr>
              <w:ind w:left="20"/>
              <w:spacing w:after="0"/>
              <w:rPr>
                <w:sz w:val="20"/>
                <w:szCs w:val="20"/>
                <w:color w:val="auto"/>
              </w:rPr>
            </w:pPr>
            <w:r>
              <w:rPr>
                <w:rFonts w:ascii="Arial" w:cs="Arial" w:eastAsia="Arial" w:hAnsi="Arial"/>
                <w:sz w:val="16"/>
                <w:szCs w:val="16"/>
                <w:color w:val="auto"/>
              </w:rPr>
              <w:t>Appendix 2A - Application for quotation of securities</w:t>
            </w:r>
          </w:p>
        </w:tc>
        <w:tc>
          <w:tcPr>
            <w:tcW w:w="2380" w:type="dxa"/>
            <w:vAlign w:val="bottom"/>
          </w:tcPr>
          <w:p>
            <w:pPr>
              <w:jc w:val="right"/>
              <w:spacing w:after="0"/>
              <w:rPr>
                <w:sz w:val="20"/>
                <w:szCs w:val="20"/>
                <w:color w:val="auto"/>
              </w:rPr>
            </w:pPr>
            <w:r>
              <w:rPr>
                <w:rFonts w:ascii="Arial" w:cs="Arial" w:eastAsia="Arial" w:hAnsi="Arial"/>
                <w:sz w:val="15"/>
                <w:szCs w:val="15"/>
                <w:color w:val="auto"/>
              </w:rPr>
              <w:t>6 / 6</w:t>
            </w:r>
          </w:p>
        </w:tc>
      </w:tr>
      <w:tr>
        <w:trPr>
          <w:trHeight w:val="508"/>
        </w:trPr>
        <w:tc>
          <w:tcPr>
            <w:tcW w:w="88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2026-05-13T05:14:28Z</dcterms:created>
  <dcterms:modified xsi:type="dcterms:W3CDTF">2026-05-13T05:14:28Z</dcterms:modified>
</cp:coreProperties>
</file>