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nvx-6k-october-26-10-22_.htm"/>
      <w:bookmarkStart w:id="1" w:name="ksnvx6koctober261022_"/>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October,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Exhibit No.</w:t>
      </w:r>
      <w:r>
        <w:rPr>
          <w:rFonts w:ascii="Times New Roman" w:hAnsi="Times New Roman"/>
          <w:color w:val="000000"/>
          <w:sz w:val="20"/>
        </w:rPr>
        <w:t xml:space="preserve"> </w:t>
      </w:r>
      <w:r>
        <w:rPr>
          <w:rFonts w:ascii="Times New Roman" w:hAnsi="Times New Roman"/>
          <w:b/>
          <w:color w:val="000000"/>
          <w:sz w:val="20"/>
          <w:u w:val="single"/>
        </w:rPr>
        <w:t>Description</w:t>
      </w:r>
    </w:p>
    <w:p>
      <w:pPr>
        <w:pStyle w:val="TextBody"/>
        <w:bidi w:val="0"/>
        <w:jc w:val="left"/>
        <w:rPr/>
      </w:pPr>
      <w:r>
        <w:rPr/>
        <w:t> </w:t>
      </w:r>
    </w:p>
    <w:p>
      <w:pPr>
        <w:pStyle w:val="TextBody"/>
        <w:bidi w:val="0"/>
        <w:jc w:val="left"/>
        <w:rPr/>
      </w:pPr>
      <w:r>
        <w:rPr>
          <w:rFonts w:ascii="Times New Roman" w:hAnsi="Times New Roman"/>
          <w:color w:val="000000"/>
          <w:sz w:val="20"/>
        </w:rPr>
        <w:t xml:space="preserve">Exhibit 99.1 </w:t>
      </w:r>
      <w:hyperlink w:anchor="nvx-ex99_1.htm">
        <w:r>
          <w:rPr>
            <w:rStyle w:val="InternetLink"/>
            <w:rFonts w:ascii="Times New Roman" w:hAnsi="Times New Roman"/>
            <w:color w:val="0000FF"/>
            <w:sz w:val="20"/>
            <w:u w:val="single"/>
          </w:rPr>
          <w:t>Appendix 3G (Notification of issue, conversion or payment up of unquoted equity securities) dated October 22, 2026</w:t>
        </w:r>
      </w:hyperlink>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2892" w:type="dxa"/>
        <w:jc w:val="left"/>
        <w:tblInd w:w="0" w:type="dxa"/>
        <w:tblLayout w:type="fixed"/>
        <w:tblCellMar>
          <w:top w:w="28" w:type="dxa"/>
          <w:left w:w="28" w:type="dxa"/>
          <w:bottom w:w="28" w:type="dxa"/>
          <w:right w:w="28" w:type="dxa"/>
        </w:tblCellMar>
      </w:tblPr>
      <w:tblGrid>
        <w:gridCol w:w="491"/>
        <w:gridCol w:w="2401"/>
      </w:tblGrid>
      <w:tr>
        <w:trPr/>
        <w:tc>
          <w:tcPr>
            <w:tcW w:w="49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289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NOVONIX LIMITED</w:t>
            </w:r>
          </w:p>
          <w:p>
            <w:pPr>
              <w:pStyle w:val="TableContents"/>
              <w:bidi w:val="0"/>
              <w:jc w:val="left"/>
              <w:rPr/>
            </w:pPr>
            <w:r>
              <w:rPr/>
              <w:t> </w:t>
            </w:r>
          </w:p>
          <w:p>
            <w:pPr>
              <w:pStyle w:val="TableContents"/>
              <w:bidi w:val="0"/>
              <w:spacing w:before="0" w:after="283"/>
              <w:jc w:val="left"/>
              <w:rPr/>
            </w:pPr>
            <w:r>
              <w:rPr/>
              <w:t> </w:t>
            </w:r>
          </w:p>
        </w:tc>
      </w:tr>
      <w:tr>
        <w:trPr/>
        <w:tc>
          <w:tcPr>
            <w:tcW w:w="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/s/ 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 October 22,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nvx-ex99_1.htm"/>
      <w:bookmarkStart w:id="3" w:name="ksnvxex99_1"/>
      <w:bookmarkEnd w:id="2"/>
      <w:bookmarkEnd w:id="3"/>
      <w:r>
        <w:rPr/>
        <w:t> </w:t>
      </w:r>
      <w:r>
        <w:br w:type="page"/>
      </w:r>
    </w:p>
    <w:tbl>
      <w:tblPr>
        <w:tblW w:w="8092" w:type="dxa"/>
        <w:jc w:val="left"/>
        <w:tblInd w:w="0" w:type="dxa"/>
        <w:tblLayout w:type="fixed"/>
        <w:tblCellMar>
          <w:top w:w="28" w:type="dxa"/>
          <w:left w:w="28" w:type="dxa"/>
          <w:bottom w:w="28" w:type="dxa"/>
          <w:right w:w="28" w:type="dxa"/>
        </w:tblCellMar>
      </w:tblPr>
      <w:tblGrid>
        <w:gridCol w:w="526"/>
        <w:gridCol w:w="7566"/>
      </w:tblGrid>
      <w:tr>
        <w:trPr/>
        <w:tc>
          <w:tcPr>
            <w:tcW w:w="526" w:type="dxa"/>
            <w:tcBorders/>
            <w:vAlign w:val="center"/>
          </w:tcPr>
          <w:p>
            <w:pPr>
              <w:pStyle w:val="TableContents"/>
              <w:bidi w:val="0"/>
              <w:spacing w:before="0" w:after="283"/>
              <w:jc w:val="left"/>
              <w:rPr>
                <w:sz w:val="4"/>
                <w:szCs w:val="4"/>
              </w:rPr>
            </w:pPr>
            <w:r>
              <w:rPr>
                <w:sz w:val="4"/>
                <w:szCs w:val="4"/>
              </w:rPr>
            </w:r>
          </w:p>
        </w:tc>
        <w:tc>
          <w:tcPr>
            <w:tcW w:w="7566"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 cy="266700"/>
                          </a:xfrm>
                          <a:prstGeom prst="rect">
                            <a:avLst/>
                          </a:prstGeom>
                        </pic:spPr>
                      </pic:pic>
                    </a:graphicData>
                  </a:graphic>
                </wp:inline>
              </w:drawing>
            </w:r>
          </w:p>
        </w:tc>
        <w:tc>
          <w:tcPr>
            <w:tcW w:w="7566"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3G - Notification of issue, conversion or payment up of unquoted equity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756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25"/>
        </w:rPr>
      </w:pPr>
      <w:r>
        <w:rPr>
          <w:rFonts w:ascii="Times New Roman" w:hAnsi="Times New Roman"/>
          <w:color w:val="000000"/>
          <w:sz w:val="25"/>
        </w:rPr>
        <w:t>EXHIBIT 99.1</w:t>
      </w:r>
    </w:p>
    <w:p>
      <w:pPr>
        <w:pStyle w:val="TextBody"/>
        <w:bidi w:val="0"/>
        <w:spacing w:before="94" w:after="283"/>
        <w:jc w:val="left"/>
        <w:rPr>
          <w:rFonts w:ascii="Arial" w:hAnsi="Arial"/>
          <w:color w:val="000000"/>
          <w:sz w:val="18"/>
        </w:rPr>
      </w:pPr>
      <w:r>
        <w:rPr>
          <w:rFonts w:ascii="Arial" w:hAnsi="Arial"/>
          <w:color w:val="000000"/>
          <w:sz w:val="18"/>
        </w:rPr>
        <w:t>Announcement Summary</w:t>
      </w:r>
    </w:p>
    <w:p>
      <w:pPr>
        <w:pStyle w:val="TextBody"/>
        <w:pBdr>
          <w:bottom w:val="single" w:sz="8" w:space="1" w:color="0C3A6C"/>
        </w:pBdr>
        <w:bidi w:val="0"/>
        <w:spacing w:before="3" w:after="283"/>
        <w:jc w:val="left"/>
        <w:rPr/>
      </w:pPr>
      <w:r>
        <w:rPr/>
        <w:t> </w:t>
      </w:r>
    </w:p>
    <w:p>
      <w:pPr>
        <w:pStyle w:val="TextBody"/>
        <w:bidi w:val="0"/>
        <w:spacing w:before="7" w:after="283"/>
        <w:jc w:val="left"/>
        <w:rPr/>
      </w:pPr>
      <w:r>
        <w:rPr/>
        <w:t> </w:t>
      </w:r>
    </w:p>
    <w:p>
      <w:pPr>
        <w:pStyle w:val="TextBody"/>
        <w:bidi w:val="0"/>
        <w:spacing w:before="1" w:after="283"/>
        <w:jc w:val="left"/>
        <w:rPr>
          <w:rFonts w:ascii="Arial" w:hAnsi="Arial"/>
          <w:b/>
          <w:color w:val="000000"/>
          <w:sz w:val="18"/>
        </w:rPr>
      </w:pPr>
      <w:r>
        <w:rPr>
          <w:rFonts w:ascii="Arial" w:hAnsi="Arial"/>
          <w:b/>
          <w:color w:val="000000"/>
          <w:sz w:val="18"/>
        </w:rPr>
        <w:t>Entity name</w:t>
      </w:r>
    </w:p>
    <w:p>
      <w:pPr>
        <w:pStyle w:val="TextBody"/>
        <w:bidi w:val="0"/>
        <w:spacing w:before="104" w:after="283"/>
        <w:jc w:val="left"/>
        <w:rPr>
          <w:rFonts w:ascii="Arial" w:hAnsi="Arial"/>
          <w:color w:val="000000"/>
          <w:sz w:val="18"/>
        </w:rPr>
      </w:pPr>
      <w:r>
        <w:rPr>
          <w:rFonts w:ascii="Arial" w:hAnsi="Arial"/>
          <w:color w:val="000000"/>
          <w:sz w:val="18"/>
        </w:rPr>
        <w:t>NOVONIX LIMITED</w:t>
      </w:r>
    </w:p>
    <w:p>
      <w:pPr>
        <w:pStyle w:val="TextBody"/>
        <w:bidi w:val="0"/>
        <w:spacing w:before="153" w:after="283"/>
        <w:jc w:val="left"/>
        <w:rPr>
          <w:rFonts w:ascii="Arial" w:hAnsi="Arial"/>
          <w:b/>
          <w:color w:val="000000"/>
          <w:sz w:val="18"/>
        </w:rPr>
      </w:pPr>
      <w:r>
        <w:rPr>
          <w:rFonts w:ascii="Arial" w:hAnsi="Arial"/>
          <w:b/>
          <w:color w:val="000000"/>
          <w:sz w:val="18"/>
        </w:rPr>
        <w:t>Date of this announcement</w:t>
      </w:r>
    </w:p>
    <w:p>
      <w:pPr>
        <w:pStyle w:val="TextBody"/>
        <w:bidi w:val="0"/>
        <w:spacing w:before="84" w:after="283"/>
        <w:jc w:val="left"/>
        <w:rPr>
          <w:rFonts w:ascii="Arial" w:hAnsi="Arial"/>
          <w:color w:val="000000"/>
          <w:sz w:val="18"/>
        </w:rPr>
      </w:pPr>
      <w:r>
        <w:rPr>
          <w:rFonts w:ascii="Arial" w:hAnsi="Arial"/>
          <w:color w:val="000000"/>
          <w:sz w:val="18"/>
        </w:rPr>
        <w:t>Thursday October 22, 2026</w:t>
      </w:r>
    </w:p>
    <w:p>
      <w:pPr>
        <w:pStyle w:val="TextBody"/>
        <w:bidi w:val="0"/>
        <w:spacing w:before="9" w:after="283"/>
        <w:jc w:val="left"/>
        <w:rPr/>
      </w:pPr>
      <w:r>
        <w:rPr/>
        <w:t> </w:t>
      </w:r>
    </w:p>
    <w:p>
      <w:pPr>
        <w:pStyle w:val="TextBody"/>
        <w:bidi w:val="0"/>
        <w:jc w:val="left"/>
        <w:rPr>
          <w:rFonts w:ascii="Arial" w:hAnsi="Arial"/>
          <w:b/>
          <w:color w:val="000000"/>
          <w:sz w:val="18"/>
        </w:rPr>
      </w:pPr>
      <w:r>
        <w:rPr>
          <w:rFonts w:ascii="Arial" w:hAnsi="Arial"/>
          <w:b/>
          <w:color w:val="000000"/>
          <w:sz w:val="18"/>
        </w:rPr>
        <w:t>The +securities the subject of this notification are:</w:t>
      </w:r>
    </w:p>
    <w:p>
      <w:pPr>
        <w:pStyle w:val="TextBody"/>
        <w:bidi w:val="0"/>
        <w:jc w:val="left"/>
        <w:rPr>
          <w:rFonts w:ascii="Arial" w:hAnsi="Arial"/>
          <w:color w:val="000000"/>
          <w:sz w:val="18"/>
        </w:rPr>
      </w:pPr>
      <w:r>
        <w:rPr>
          <w:rFonts w:ascii="Arial" w:hAnsi="Arial"/>
          <w:color w:val="000000"/>
          <w:sz w:val="18"/>
        </w:rPr>
        <w:t>+Other securities issued under an +employee incentive scheme that are not intended to be quoted on ASX</w:t>
      </w:r>
    </w:p>
    <w:p>
      <w:pPr>
        <w:pStyle w:val="TextBody"/>
        <w:bidi w:val="0"/>
        <w:spacing w:before="49" w:after="283"/>
        <w:jc w:val="left"/>
        <w:rPr>
          <w:rFonts w:ascii="Arial" w:hAnsi="Arial"/>
          <w:b/>
          <w:color w:val="000000"/>
          <w:sz w:val="18"/>
        </w:rPr>
      </w:pPr>
      <w:r>
        <w:rPr>
          <w:rFonts w:ascii="Arial" w:hAnsi="Arial"/>
          <w:b/>
          <w:color w:val="000000"/>
          <w:sz w:val="18"/>
        </w:rPr>
        <w:t>Total number of +securities to be issued/transferred</w:t>
      </w:r>
    </w:p>
    <w:p>
      <w:pPr>
        <w:pStyle w:val="TextBody"/>
        <w:bidi w:val="0"/>
        <w:jc w:val="left"/>
        <w:rPr/>
      </w:pPr>
      <w:r>
        <w:rPr/>
        <w:t> </w:t>
      </w:r>
    </w:p>
    <w:tbl>
      <w:tblPr>
        <w:tblW w:w="6855" w:type="dxa"/>
        <w:jc w:val="left"/>
        <w:tblInd w:w="0" w:type="dxa"/>
        <w:tblLayout w:type="fixed"/>
        <w:tblCellMar>
          <w:top w:w="28" w:type="dxa"/>
          <w:left w:w="28" w:type="dxa"/>
          <w:bottom w:w="28" w:type="dxa"/>
          <w:right w:w="28" w:type="dxa"/>
        </w:tblCellMar>
      </w:tblPr>
      <w:tblGrid>
        <w:gridCol w:w="161"/>
        <w:gridCol w:w="1381"/>
        <w:gridCol w:w="2236"/>
        <w:gridCol w:w="1696"/>
        <w:gridCol w:w="1381"/>
      </w:tblGrid>
      <w:tr>
        <w:trPr/>
        <w:tc>
          <w:tcPr>
            <w:tcW w:w="1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000000"/>
              <w:left w:val="single" w:sz="8" w:space="0" w:color="000000"/>
            </w:tcBorders>
            <w:tcMar>
              <w:bottom w:w="0" w:type="dxa"/>
              <w:right w:w="0" w:type="dxa"/>
            </w:tcMar>
            <w:vAlign w:val="center"/>
          </w:tcPr>
          <w:p>
            <w:pPr>
              <w:pStyle w:val="TableContents"/>
              <w:bidi w:val="0"/>
              <w:spacing w:before="40" w:after="283"/>
              <w:jc w:val="left"/>
              <w:rPr/>
            </w:pPr>
            <w:r>
              <w:rPr/>
              <w:t> </w:t>
            </w:r>
          </w:p>
        </w:tc>
        <w:tc>
          <w:tcPr>
            <w:tcW w:w="1381" w:type="dxa"/>
            <w:tcBorders>
              <w:top w:val="single" w:sz="8" w:space="0" w:color="000000"/>
            </w:tcBorders>
            <w:tcMar>
              <w:left w:w="0" w:type="dxa"/>
              <w:bottom w:w="0" w:type="dxa"/>
              <w:right w:w="0" w:type="dxa"/>
            </w:tcMar>
            <w:vAlign w:val="center"/>
          </w:tcPr>
          <w:p>
            <w:pPr>
              <w:pStyle w:val="TableContents"/>
              <w:bidi w:val="0"/>
              <w:spacing w:before="40" w:after="283"/>
              <w:jc w:val="left"/>
              <w:rPr/>
            </w:pPr>
            <w:r>
              <w:rPr/>
              <w:t> </w:t>
            </w:r>
          </w:p>
        </w:tc>
        <w:tc>
          <w:tcPr>
            <w:tcW w:w="2236" w:type="dxa"/>
            <w:tcBorders>
              <w:top w:val="single" w:sz="8" w:space="0" w:color="000000"/>
            </w:tcBorders>
            <w:tcMar>
              <w:left w:w="0" w:type="dxa"/>
              <w:bottom w:w="0" w:type="dxa"/>
              <w:right w:w="0" w:type="dxa"/>
            </w:tcMar>
            <w:vAlign w:val="center"/>
          </w:tcPr>
          <w:p>
            <w:pPr>
              <w:pStyle w:val="TableContents"/>
              <w:bidi w:val="0"/>
              <w:spacing w:before="40" w:after="283"/>
              <w:jc w:val="left"/>
              <w:rPr/>
            </w:pPr>
            <w:r>
              <w:rPr/>
              <w:t> </w:t>
            </w:r>
          </w:p>
        </w:tc>
        <w:tc>
          <w:tcPr>
            <w:tcW w:w="1696" w:type="dxa"/>
            <w:tcBorders>
              <w:top w:val="single" w:sz="8" w:space="0" w:color="000000"/>
            </w:tcBorders>
            <w:tcMar>
              <w:left w:w="0" w:type="dxa"/>
              <w:bottom w:w="0" w:type="dxa"/>
              <w:right w:w="0" w:type="dxa"/>
            </w:tcMar>
            <w:vAlign w:val="center"/>
          </w:tcPr>
          <w:p>
            <w:pPr>
              <w:pStyle w:val="TableContents"/>
              <w:bidi w:val="0"/>
              <w:spacing w:before="40" w:after="283"/>
              <w:jc w:val="right"/>
              <w:rPr>
                <w:rFonts w:ascii="Arial" w:hAnsi="Arial"/>
                <w:b/>
                <w:color w:val="000000"/>
                <w:sz w:val="18"/>
              </w:rPr>
            </w:pPr>
            <w:r>
              <w:rPr>
                <w:rFonts w:ascii="Arial" w:hAnsi="Arial"/>
                <w:b/>
                <w:color w:val="000000"/>
                <w:sz w:val="18"/>
              </w:rPr>
              <w:t>Total number of</w:t>
            </w:r>
          </w:p>
        </w:tc>
        <w:tc>
          <w:tcPr>
            <w:tcW w:w="1381" w:type="dxa"/>
            <w:tcBorders>
              <w:top w:val="single" w:sz="8" w:space="0" w:color="000000"/>
              <w:right w:val="single" w:sz="8" w:space="0" w:color="000000"/>
            </w:tcBorders>
            <w:tcMar>
              <w:left w:w="0" w:type="dxa"/>
              <w:bottom w:w="0" w:type="dxa"/>
            </w:tcMar>
            <w:vAlign w:val="center"/>
          </w:tcPr>
          <w:p>
            <w:pPr>
              <w:pStyle w:val="TableContents"/>
              <w:bidi w:val="0"/>
              <w:spacing w:before="40" w:after="283"/>
              <w:jc w:val="left"/>
              <w:rPr/>
            </w:pPr>
            <w:r>
              <w:rPr/>
              <w:t> </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sz w:val="18"/>
              </w:rPr>
            </w:pPr>
            <w:r>
              <w:rPr>
                <w:rFonts w:ascii="Arial" w:hAnsi="Arial"/>
                <w:b/>
                <w:color w:val="000000"/>
                <w:sz w:val="18"/>
              </w:rPr>
              <w:t>ASX +security</w:t>
            </w:r>
            <w:r>
              <w:rPr>
                <w:rFonts w:ascii="Arial" w:hAnsi="Arial"/>
                <w:color w:val="000000"/>
                <w:sz w:val="18"/>
              </w:rPr>
              <w:t xml:space="preserve">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+securities to be</w:t>
            </w:r>
          </w:p>
        </w:tc>
        <w:tc>
          <w:tcPr>
            <w:tcW w:w="1381"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code</w:t>
            </w:r>
          </w:p>
        </w:tc>
        <w:tc>
          <w:tcPr>
            <w:tcW w:w="22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Security description</w:t>
            </w:r>
          </w:p>
        </w:tc>
        <w:tc>
          <w:tcPr>
            <w:tcW w:w="16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issued/transferred</w:t>
            </w:r>
          </w:p>
        </w:tc>
        <w:tc>
          <w:tcPr>
            <w:tcW w:w="1381" w:type="dxa"/>
            <w:tcBorders>
              <w:right w:val="single" w:sz="8"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 </w:t>
            </w:r>
            <w:r>
              <w:rPr>
                <w:rFonts w:ascii="Arial" w:hAnsi="Arial"/>
                <w:b/>
                <w:color w:val="000000"/>
                <w:sz w:val="18"/>
              </w:rPr>
              <w:t>Issue date</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1"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NVXAD</w:t>
            </w:r>
          </w:p>
        </w:tc>
        <w:tc>
          <w:tcPr>
            <w:tcW w:w="22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PERFORMANCE RIGHTS</w:t>
            </w:r>
          </w:p>
        </w:tc>
        <w:tc>
          <w:tcPr>
            <w:tcW w:w="16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2,069,742</w:t>
            </w:r>
          </w:p>
        </w:tc>
        <w:tc>
          <w:tcPr>
            <w:tcW w:w="1381" w:type="dxa"/>
            <w:tcBorders>
              <w:right w:val="single" w:sz="8" w:space="0" w:color="000000"/>
            </w:tcBorders>
            <w:tcMar>
              <w:top w:w="0" w:type="dxa"/>
              <w:left w:w="0" w:type="dxa"/>
              <w:bottom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22/10/2026</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1"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3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Refer to next page for full details of the announcement</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7536"/>
        <w:gridCol w:w="466"/>
      </w:tblGrid>
      <w:tr>
        <w:trPr/>
        <w:tc>
          <w:tcPr>
            <w:tcW w:w="75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7536" w:type="dxa"/>
            <w:tcBorders>
              <w:top w:val="single" w:sz="4" w:space="0" w:color="7F7F7F"/>
            </w:tcBorders>
            <w:tcMar>
              <w:left w:w="0" w:type="dxa"/>
              <w:bottom w:w="0" w:type="dxa"/>
              <w:right w:w="0" w:type="dxa"/>
            </w:tcMar>
            <w:vAlign w:val="center"/>
          </w:tcPr>
          <w:p>
            <w:pPr>
              <w:pStyle w:val="TableContents"/>
              <w:bidi w:val="0"/>
              <w:spacing w:before="14" w:after="283"/>
              <w:ind w:left="0" w:right="0" w:firstLine="20"/>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36"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3G - Notification of issue, conversion or payment up of unquoted equity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92" w:type="dxa"/>
        <w:jc w:val="left"/>
        <w:tblInd w:w="0" w:type="dxa"/>
        <w:tblLayout w:type="fixed"/>
        <w:tblCellMar>
          <w:top w:w="28" w:type="dxa"/>
          <w:left w:w="28" w:type="dxa"/>
          <w:bottom w:w="28" w:type="dxa"/>
          <w:right w:w="28" w:type="dxa"/>
        </w:tblCellMar>
      </w:tblPr>
      <w:tblGrid>
        <w:gridCol w:w="526"/>
        <w:gridCol w:w="7566"/>
      </w:tblGrid>
      <w:tr>
        <w:trPr/>
        <w:tc>
          <w:tcPr>
            <w:tcW w:w="526" w:type="dxa"/>
            <w:tcBorders/>
            <w:vAlign w:val="center"/>
          </w:tcPr>
          <w:p>
            <w:pPr>
              <w:pStyle w:val="TableContents"/>
              <w:bidi w:val="0"/>
              <w:spacing w:before="0" w:after="283"/>
              <w:jc w:val="left"/>
              <w:rPr>
                <w:sz w:val="4"/>
                <w:szCs w:val="4"/>
              </w:rPr>
            </w:pPr>
            <w:r>
              <w:rPr>
                <w:sz w:val="4"/>
                <w:szCs w:val="4"/>
              </w:rPr>
            </w:r>
          </w:p>
        </w:tc>
        <w:tc>
          <w:tcPr>
            <w:tcW w:w="7566"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7175" cy="266700"/>
                          </a:xfrm>
                          <a:prstGeom prst="rect">
                            <a:avLst/>
                          </a:prstGeom>
                        </pic:spPr>
                      </pic:pic>
                    </a:graphicData>
                  </a:graphic>
                </wp:inline>
              </w:drawing>
            </w:r>
          </w:p>
        </w:tc>
        <w:tc>
          <w:tcPr>
            <w:tcW w:w="7566"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3G - Notification of issue, conversion or payment up of unquoted equity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756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1 - Entity and announcement details</w:t>
      </w:r>
    </w:p>
    <w:p>
      <w:pPr>
        <w:pStyle w:val="TextBody"/>
        <w:pBdr>
          <w:bottom w:val="single" w:sz="8" w:space="1" w:color="0C3A6C"/>
        </w:pBdr>
        <w:bidi w:val="0"/>
        <w:spacing w:before="3"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33" w:after="283"/>
        <w:jc w:val="left"/>
        <w:rPr>
          <w:rFonts w:ascii="Arial" w:hAnsi="Arial"/>
          <w:b/>
          <w:color w:val="000000"/>
          <w:sz w:val="18"/>
        </w:rPr>
      </w:pPr>
      <w:r>
        <w:rPr>
          <w:rFonts w:ascii="Arial" w:hAnsi="Arial"/>
          <w:b/>
          <w:color w:val="000000"/>
          <w:sz w:val="18"/>
        </w:rPr>
        <w:t>1.1 Name of entity</w:t>
      </w:r>
    </w:p>
    <w:p>
      <w:pPr>
        <w:pStyle w:val="TextBody"/>
        <w:bidi w:val="0"/>
        <w:spacing w:before="105" w:after="283"/>
        <w:jc w:val="left"/>
        <w:rPr>
          <w:rFonts w:ascii="Arial" w:hAnsi="Arial"/>
          <w:color w:val="000000"/>
          <w:sz w:val="18"/>
        </w:rPr>
      </w:pPr>
      <w:r>
        <w:rPr>
          <w:rFonts w:ascii="Arial" w:hAnsi="Arial"/>
          <w:color w:val="000000"/>
          <w:sz w:val="18"/>
        </w:rPr>
        <w:t>NOVONIX LIMITED</w:t>
      </w:r>
    </w:p>
    <w:p>
      <w:pPr>
        <w:pStyle w:val="TextBody"/>
        <w:bidi w:val="0"/>
        <w:spacing w:before="150" w:after="283"/>
        <w:jc w:val="left"/>
        <w:rPr>
          <w:rFonts w:ascii="Arial" w:hAnsi="Arial"/>
          <w:color w:val="000000"/>
          <w:sz w:val="18"/>
        </w:rPr>
      </w:pPr>
      <w:r>
        <w:rPr>
          <w:rFonts w:ascii="Arial" w:hAnsi="Arial"/>
          <w:color w:val="000000"/>
          <w:sz w:val="18"/>
        </w:rPr>
        <w:t>We (the entity named above) give notice of the issue, conversion or payment up of the following unquoted +securities.</w:t>
      </w:r>
    </w:p>
    <w:p>
      <w:pPr>
        <w:pStyle w:val="TextBody"/>
        <w:bidi w:val="0"/>
        <w:jc w:val="left"/>
        <w:rPr/>
      </w:pPr>
      <w:r>
        <w:rPr/>
        <w:t> </w:t>
      </w:r>
    </w:p>
    <w:tbl>
      <w:tblPr>
        <w:tblW w:w="4397" w:type="dxa"/>
        <w:jc w:val="left"/>
        <w:tblInd w:w="0" w:type="dxa"/>
        <w:tblLayout w:type="fixed"/>
        <w:tblCellMar>
          <w:top w:w="28" w:type="dxa"/>
          <w:left w:w="28" w:type="dxa"/>
          <w:bottom w:w="28" w:type="dxa"/>
          <w:right w:w="28" w:type="dxa"/>
        </w:tblCellMar>
      </w:tblPr>
      <w:tblGrid>
        <w:gridCol w:w="2491"/>
        <w:gridCol w:w="1906"/>
      </w:tblGrid>
      <w:tr>
        <w:trPr/>
        <w:tc>
          <w:tcPr>
            <w:tcW w:w="249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1.2 Registered number type</w:t>
            </w:r>
          </w:p>
        </w:tc>
        <w:tc>
          <w:tcPr>
            <w:tcW w:w="19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Registration number</w:t>
            </w:r>
          </w:p>
        </w:tc>
      </w:tr>
      <w:tr>
        <w:trPr/>
        <w:tc>
          <w:tcPr>
            <w:tcW w:w="2491" w:type="dxa"/>
            <w:tcBorders/>
            <w:tcMar>
              <w:top w:w="0" w:type="dxa"/>
              <w:left w:w="0" w:type="dxa"/>
              <w:bottom w:w="0" w:type="dxa"/>
              <w:right w:w="0" w:type="dxa"/>
            </w:tcMar>
            <w:vAlign w:val="center"/>
          </w:tcPr>
          <w:p>
            <w:pPr>
              <w:pStyle w:val="TableContents"/>
              <w:bidi w:val="0"/>
              <w:spacing w:before="106" w:after="283"/>
              <w:jc w:val="left"/>
              <w:rPr>
                <w:rFonts w:ascii="Arial" w:hAnsi="Arial"/>
                <w:color w:val="000000"/>
                <w:sz w:val="18"/>
              </w:rPr>
            </w:pPr>
            <w:r>
              <w:rPr>
                <w:rFonts w:ascii="Arial" w:hAnsi="Arial"/>
                <w:color w:val="000000"/>
                <w:sz w:val="18"/>
              </w:rPr>
              <w:t>ABN</w:t>
            </w:r>
          </w:p>
        </w:tc>
        <w:tc>
          <w:tcPr>
            <w:tcW w:w="1906" w:type="dxa"/>
            <w:tcBorders/>
            <w:tcMar>
              <w:top w:w="0" w:type="dxa"/>
              <w:left w:w="0" w:type="dxa"/>
              <w:bottom w:w="0" w:type="dxa"/>
              <w:right w:w="0" w:type="dxa"/>
            </w:tcMar>
            <w:vAlign w:val="center"/>
          </w:tcPr>
          <w:p>
            <w:pPr>
              <w:pStyle w:val="TableContents"/>
              <w:bidi w:val="0"/>
              <w:spacing w:before="106" w:after="283"/>
              <w:jc w:val="left"/>
              <w:rPr>
                <w:rFonts w:ascii="Arial" w:hAnsi="Arial"/>
                <w:color w:val="000000"/>
                <w:sz w:val="18"/>
              </w:rPr>
            </w:pPr>
            <w:r>
              <w:rPr>
                <w:rFonts w:ascii="Arial" w:hAnsi="Arial"/>
                <w:color w:val="000000"/>
                <w:sz w:val="18"/>
              </w:rPr>
              <w:t>54157690830</w:t>
            </w:r>
          </w:p>
        </w:tc>
      </w:tr>
    </w:tbl>
    <w:p>
      <w:pPr>
        <w:pStyle w:val="TextBody"/>
        <w:bidi w:val="0"/>
        <w:jc w:val="left"/>
        <w:rPr/>
      </w:pPr>
      <w:r>
        <w:rPr/>
        <w:t> </w:t>
      </w:r>
    </w:p>
    <w:p>
      <w:pPr>
        <w:pStyle w:val="TextBody"/>
        <w:bidi w:val="0"/>
        <w:jc w:val="left"/>
        <w:rPr/>
      </w:pPr>
      <w:r>
        <w:rPr/>
        <w:t> </w:t>
      </w:r>
    </w:p>
    <w:p>
      <w:pPr>
        <w:pStyle w:val="TextBody"/>
        <w:bidi w:val="0"/>
        <w:spacing w:before="94" w:after="283"/>
        <w:jc w:val="left"/>
        <w:rPr>
          <w:rFonts w:ascii="Arial" w:hAnsi="Arial"/>
          <w:b/>
          <w:color w:val="000000"/>
          <w:sz w:val="18"/>
        </w:rPr>
      </w:pPr>
      <w:r>
        <w:rPr>
          <w:rFonts w:ascii="Arial" w:hAnsi="Arial"/>
          <w:b/>
          <w:color w:val="000000"/>
          <w:sz w:val="18"/>
        </w:rPr>
        <w:t>1.3 ASX issuer code</w:t>
      </w:r>
    </w:p>
    <w:p>
      <w:pPr>
        <w:pStyle w:val="TextBody"/>
        <w:bidi w:val="0"/>
        <w:spacing w:before="105" w:after="283"/>
        <w:jc w:val="left"/>
        <w:rPr>
          <w:rFonts w:ascii="Arial" w:hAnsi="Arial"/>
          <w:color w:val="000000"/>
          <w:sz w:val="18"/>
        </w:rPr>
      </w:pPr>
      <w:r>
        <w:rPr>
          <w:rFonts w:ascii="Arial" w:hAnsi="Arial"/>
          <w:color w:val="000000"/>
          <w:sz w:val="18"/>
        </w:rPr>
        <w:t>NVX</w:t>
      </w:r>
    </w:p>
    <w:p>
      <w:pPr>
        <w:pStyle w:val="TextBody"/>
        <w:bidi w:val="0"/>
        <w:spacing w:before="1" w:after="283"/>
        <w:jc w:val="left"/>
        <w:rPr/>
      </w:pPr>
      <w:r>
        <w:rPr/>
        <w:t> </w:t>
      </w:r>
    </w:p>
    <w:p>
      <w:pPr>
        <w:pStyle w:val="TextBody"/>
        <w:bidi w:val="0"/>
        <w:jc w:val="left"/>
        <w:rPr>
          <w:rFonts w:ascii="Arial" w:hAnsi="Arial"/>
          <w:b/>
          <w:color w:val="000000"/>
          <w:sz w:val="18"/>
        </w:rPr>
      </w:pPr>
      <w:r>
        <w:rPr>
          <w:rFonts w:ascii="Arial" w:hAnsi="Arial"/>
          <w:b/>
          <w:color w:val="000000"/>
          <w:sz w:val="18"/>
        </w:rPr>
        <w:t>1.4 The announcement is</w:t>
      </w:r>
    </w:p>
    <w:p>
      <w:pPr>
        <w:pStyle w:val="TextBody"/>
        <w:bidi w:val="0"/>
        <w:jc w:val="left"/>
        <w:rPr>
          <w:rFonts w:ascii="Arial" w:hAnsi="Arial"/>
          <w:color w:val="000000"/>
          <w:sz w:val="18"/>
        </w:rPr>
      </w:pPr>
      <w:r>
        <w:rPr>
          <w:rFonts w:ascii="Arial" w:hAnsi="Arial"/>
          <w:color w:val="000000"/>
          <w:sz w:val="18"/>
        </w:rPr>
        <w:t>New announcement</w:t>
      </w:r>
    </w:p>
    <w:p>
      <w:pPr>
        <w:pStyle w:val="TextBody"/>
        <w:bidi w:val="0"/>
        <w:spacing w:before="48" w:after="283"/>
        <w:jc w:val="left"/>
        <w:rPr>
          <w:rFonts w:ascii="Arial" w:hAnsi="Arial"/>
          <w:b/>
          <w:color w:val="000000"/>
          <w:sz w:val="18"/>
        </w:rPr>
      </w:pPr>
      <w:r>
        <w:rPr>
          <w:rFonts w:ascii="Arial" w:hAnsi="Arial"/>
          <w:b/>
          <w:color w:val="000000"/>
          <w:sz w:val="18"/>
        </w:rPr>
        <w:t>1.5 Date of this announcement</w:t>
      </w:r>
    </w:p>
    <w:p>
      <w:pPr>
        <w:pStyle w:val="TextBody"/>
        <w:bidi w:val="0"/>
        <w:spacing w:before="105" w:after="283"/>
        <w:jc w:val="left"/>
        <w:rPr>
          <w:rFonts w:ascii="Arial" w:hAnsi="Arial"/>
          <w:color w:val="000000"/>
          <w:sz w:val="18"/>
        </w:rPr>
      </w:pPr>
      <w:r>
        <w:rPr>
          <w:rFonts w:ascii="Arial" w:hAnsi="Arial"/>
          <w:color w:val="000000"/>
          <w:sz w:val="18"/>
        </w:rPr>
        <w:t>22/10/2026</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7536"/>
        <w:gridCol w:w="466"/>
      </w:tblGrid>
      <w:tr>
        <w:trPr/>
        <w:tc>
          <w:tcPr>
            <w:tcW w:w="75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7536" w:type="dxa"/>
            <w:tcBorders>
              <w:top w:val="single" w:sz="4" w:space="0" w:color="7F7F7F"/>
            </w:tcBorders>
            <w:tcMar>
              <w:left w:w="0" w:type="dxa"/>
              <w:bottom w:w="0" w:type="dxa"/>
              <w:right w:w="0" w:type="dxa"/>
            </w:tcMar>
            <w:vAlign w:val="center"/>
          </w:tcPr>
          <w:p>
            <w:pPr>
              <w:pStyle w:val="TableContents"/>
              <w:bidi w:val="0"/>
              <w:spacing w:before="14" w:after="283"/>
              <w:ind w:left="0" w:right="0" w:firstLine="20"/>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36"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3G - Notification of issue, conversion or payment up of unquoted equity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92" w:type="dxa"/>
        <w:jc w:val="left"/>
        <w:tblInd w:w="0" w:type="dxa"/>
        <w:tblLayout w:type="fixed"/>
        <w:tblCellMar>
          <w:top w:w="28" w:type="dxa"/>
          <w:left w:w="28" w:type="dxa"/>
          <w:bottom w:w="28" w:type="dxa"/>
          <w:right w:w="28" w:type="dxa"/>
        </w:tblCellMar>
      </w:tblPr>
      <w:tblGrid>
        <w:gridCol w:w="526"/>
        <w:gridCol w:w="7566"/>
      </w:tblGrid>
      <w:tr>
        <w:trPr/>
        <w:tc>
          <w:tcPr>
            <w:tcW w:w="526" w:type="dxa"/>
            <w:tcBorders/>
            <w:vAlign w:val="center"/>
          </w:tcPr>
          <w:p>
            <w:pPr>
              <w:pStyle w:val="TableContents"/>
              <w:bidi w:val="0"/>
              <w:spacing w:before="0" w:after="283"/>
              <w:jc w:val="left"/>
              <w:rPr>
                <w:sz w:val="4"/>
                <w:szCs w:val="4"/>
              </w:rPr>
            </w:pPr>
            <w:r>
              <w:rPr>
                <w:sz w:val="4"/>
                <w:szCs w:val="4"/>
              </w:rPr>
            </w:r>
          </w:p>
        </w:tc>
        <w:tc>
          <w:tcPr>
            <w:tcW w:w="7566"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7175" cy="266700"/>
                          </a:xfrm>
                          <a:prstGeom prst="rect">
                            <a:avLst/>
                          </a:prstGeom>
                        </pic:spPr>
                      </pic:pic>
                    </a:graphicData>
                  </a:graphic>
                </wp:inline>
              </w:drawing>
            </w:r>
          </w:p>
        </w:tc>
        <w:tc>
          <w:tcPr>
            <w:tcW w:w="7566"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3G - Notification of issue, conversion or payment up of unquoted equity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756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2 - Issue details</w:t>
      </w:r>
    </w:p>
    <w:p>
      <w:pPr>
        <w:pStyle w:val="TextBody"/>
        <w:pBdr>
          <w:bottom w:val="single" w:sz="8" w:space="1" w:color="0C3A6C"/>
        </w:pBdr>
        <w:bidi w:val="0"/>
        <w:spacing w:before="3" w:after="283"/>
        <w:jc w:val="left"/>
        <w:rPr/>
      </w:pPr>
      <w:r>
        <w:rPr/>
        <w:t> </w:t>
      </w:r>
    </w:p>
    <w:p>
      <w:pPr>
        <w:pStyle w:val="TextBody"/>
        <w:bidi w:val="0"/>
        <w:spacing w:before="7" w:after="283"/>
        <w:jc w:val="left"/>
        <w:rPr/>
      </w:pPr>
      <w:r>
        <w:rPr/>
        <w:t> </w:t>
      </w:r>
    </w:p>
    <w:p>
      <w:pPr>
        <w:pStyle w:val="TextBody"/>
        <w:bidi w:val="0"/>
        <w:jc w:val="left"/>
        <w:rPr>
          <w:rFonts w:ascii="Arial" w:hAnsi="Arial"/>
          <w:b/>
          <w:color w:val="000000"/>
          <w:sz w:val="18"/>
        </w:rPr>
      </w:pPr>
      <w:r>
        <w:rPr>
          <w:rFonts w:ascii="Arial" w:hAnsi="Arial"/>
          <w:b/>
          <w:color w:val="000000"/>
          <w:sz w:val="18"/>
        </w:rPr>
        <w:t>2.1 The +securities the subject of this notification are:</w:t>
      </w:r>
    </w:p>
    <w:p>
      <w:pPr>
        <w:pStyle w:val="TextBody"/>
        <w:bidi w:val="0"/>
        <w:jc w:val="left"/>
        <w:rPr>
          <w:rFonts w:ascii="Arial" w:hAnsi="Arial"/>
          <w:color w:val="000000"/>
          <w:sz w:val="18"/>
        </w:rPr>
      </w:pPr>
      <w:r>
        <w:rPr>
          <w:rFonts w:ascii="Arial" w:hAnsi="Arial"/>
          <w:color w:val="000000"/>
          <w:sz w:val="18"/>
        </w:rPr>
        <w:t>+Other securities issued under an +employee incentive scheme that are not intended to be quoted on ASX</w:t>
      </w:r>
    </w:p>
    <w:p>
      <w:pPr>
        <w:pStyle w:val="TextBody"/>
        <w:bidi w:val="0"/>
        <w:spacing w:before="3" w:after="283"/>
        <w:jc w:val="left"/>
        <w:rPr/>
      </w:pPr>
      <w:r>
        <w:rPr/>
        <w:t> </w:t>
      </w:r>
    </w:p>
    <w:p>
      <w:pPr>
        <w:pStyle w:val="TextBody"/>
        <w:bidi w:val="0"/>
        <w:spacing w:before="94" w:after="283"/>
        <w:jc w:val="left"/>
        <w:rPr>
          <w:rFonts w:ascii="Arial" w:hAnsi="Arial"/>
          <w:b/>
          <w:color w:val="000000"/>
          <w:sz w:val="18"/>
        </w:rPr>
      </w:pPr>
      <w:r>
        <w:rPr>
          <w:rFonts w:ascii="Arial" w:hAnsi="Arial"/>
          <w:b/>
          <w:color w:val="000000"/>
          <w:sz w:val="18"/>
        </w:rPr>
        <w:t>2.2a This notification is given in relation to an issue of +securities in a class which is not quoted on ASX and which:</w:t>
      </w:r>
    </w:p>
    <w:p>
      <w:pPr>
        <w:pStyle w:val="TextBody"/>
        <w:bidi w:val="0"/>
        <w:jc w:val="left"/>
        <w:rPr>
          <w:rFonts w:ascii="Arial" w:hAnsi="Arial"/>
          <w:color w:val="000000"/>
          <w:sz w:val="18"/>
        </w:rPr>
      </w:pPr>
      <w:r>
        <w:rPr>
          <w:rFonts w:ascii="Arial" w:hAnsi="Arial"/>
          <w:color w:val="000000"/>
          <w:sz w:val="18"/>
        </w:rPr>
        <w:t>does not have an existing ASX security code ("new class")</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7536"/>
        <w:gridCol w:w="466"/>
      </w:tblGrid>
      <w:tr>
        <w:trPr/>
        <w:tc>
          <w:tcPr>
            <w:tcW w:w="75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7536" w:type="dxa"/>
            <w:tcBorders>
              <w:top w:val="single" w:sz="4" w:space="0" w:color="7F7F7F"/>
            </w:tcBorders>
            <w:tcMar>
              <w:left w:w="0" w:type="dxa"/>
              <w:bottom w:w="0" w:type="dxa"/>
              <w:right w:w="0" w:type="dxa"/>
            </w:tcMar>
            <w:vAlign w:val="center"/>
          </w:tcPr>
          <w:p>
            <w:pPr>
              <w:pStyle w:val="TableContents"/>
              <w:bidi w:val="0"/>
              <w:spacing w:before="14" w:after="283"/>
              <w:ind w:left="0" w:right="0" w:firstLine="20"/>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36"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3G - Notification of issue, conversion or payment up of unquoted equity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92" w:type="dxa"/>
        <w:jc w:val="left"/>
        <w:tblInd w:w="0" w:type="dxa"/>
        <w:tblLayout w:type="fixed"/>
        <w:tblCellMar>
          <w:top w:w="28" w:type="dxa"/>
          <w:left w:w="28" w:type="dxa"/>
          <w:bottom w:w="28" w:type="dxa"/>
          <w:right w:w="28" w:type="dxa"/>
        </w:tblCellMar>
      </w:tblPr>
      <w:tblGrid>
        <w:gridCol w:w="526"/>
        <w:gridCol w:w="7566"/>
      </w:tblGrid>
      <w:tr>
        <w:trPr/>
        <w:tc>
          <w:tcPr>
            <w:tcW w:w="526" w:type="dxa"/>
            <w:tcBorders/>
            <w:vAlign w:val="center"/>
          </w:tcPr>
          <w:p>
            <w:pPr>
              <w:pStyle w:val="TableContents"/>
              <w:bidi w:val="0"/>
              <w:spacing w:before="0" w:after="283"/>
              <w:jc w:val="left"/>
              <w:rPr>
                <w:sz w:val="4"/>
                <w:szCs w:val="4"/>
              </w:rPr>
            </w:pPr>
            <w:r>
              <w:rPr>
                <w:sz w:val="4"/>
                <w:szCs w:val="4"/>
              </w:rPr>
            </w:r>
          </w:p>
        </w:tc>
        <w:tc>
          <w:tcPr>
            <w:tcW w:w="7566"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7175" cy="266700"/>
                          </a:xfrm>
                          <a:prstGeom prst="rect">
                            <a:avLst/>
                          </a:prstGeom>
                        </pic:spPr>
                      </pic:pic>
                    </a:graphicData>
                  </a:graphic>
                </wp:inline>
              </w:drawing>
            </w:r>
          </w:p>
        </w:tc>
        <w:tc>
          <w:tcPr>
            <w:tcW w:w="7566"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3G - Notification of issue, conversion or payment up of unquoted equity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756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3C - number and type of +securities the subject of this notification (new class)</w:t>
      </w:r>
    </w:p>
    <w:p>
      <w:pPr>
        <w:pStyle w:val="TextBody"/>
        <w:pBdr>
          <w:bottom w:val="single" w:sz="8" w:space="1" w:color="0C3A6C"/>
        </w:pBdr>
        <w:bidi w:val="0"/>
        <w:spacing w:before="3" w:after="283"/>
        <w:jc w:val="left"/>
        <w:rPr/>
      </w:pPr>
      <w:r>
        <w:rPr/>
        <w:t> </w:t>
      </w:r>
    </w:p>
    <w:p>
      <w:pPr>
        <w:pStyle w:val="TextBody"/>
        <w:bidi w:val="0"/>
        <w:spacing w:before="5" w:after="283"/>
        <w:jc w:val="left"/>
        <w:rPr/>
      </w:pPr>
      <w:r>
        <w:rPr/>
        <w:t> </w:t>
      </w:r>
    </w:p>
    <w:p>
      <w:pPr>
        <w:pStyle w:val="TextBody"/>
        <w:bidi w:val="0"/>
        <w:spacing w:before="80" w:after="283"/>
        <w:jc w:val="left"/>
        <w:rPr>
          <w:rFonts w:ascii="Arial" w:hAnsi="Arial"/>
          <w:b/>
          <w:color w:val="000000"/>
          <w:sz w:val="18"/>
        </w:rPr>
      </w:pPr>
      <w:r>
        <w:rPr>
          <w:rFonts w:ascii="Arial" w:hAnsi="Arial"/>
          <w:b/>
          <w:color w:val="000000"/>
          <w:sz w:val="18"/>
        </w:rPr>
        <w:t>New +securities</w:t>
      </w:r>
    </w:p>
    <w:p>
      <w:pPr>
        <w:pStyle w:val="TextBody"/>
        <w:bidi w:val="0"/>
        <w:jc w:val="left"/>
        <w:rPr/>
      </w:pPr>
      <w:r>
        <w:rPr/>
        <w:t> </w:t>
      </w:r>
    </w:p>
    <w:p>
      <w:pPr>
        <w:pStyle w:val="TextBody"/>
        <w:bidi w:val="0"/>
        <w:spacing w:before="8" w:after="283"/>
        <w:jc w:val="left"/>
        <w:rPr/>
      </w:pPr>
      <w:r>
        <w:rPr/>
        <w:t> </w:t>
      </w:r>
    </w:p>
    <w:tbl>
      <w:tblPr>
        <w:tblW w:w="3278" w:type="dxa"/>
        <w:jc w:val="left"/>
        <w:tblInd w:w="0" w:type="dxa"/>
        <w:tblLayout w:type="fixed"/>
        <w:tblCellMar>
          <w:top w:w="28" w:type="dxa"/>
          <w:left w:w="28" w:type="dxa"/>
          <w:bottom w:w="28" w:type="dxa"/>
          <w:right w:w="28" w:type="dxa"/>
        </w:tblCellMar>
      </w:tblPr>
      <w:tblGrid>
        <w:gridCol w:w="3029"/>
        <w:gridCol w:w="249"/>
      </w:tblGrid>
      <w:tr>
        <w:trPr/>
        <w:tc>
          <w:tcPr>
            <w:tcW w:w="30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029" w:type="dxa"/>
            <w:tcBorders>
              <w:bottom w:val="single" w:sz="4" w:space="0" w:color="999999"/>
            </w:tcBorders>
            <w:tcMar>
              <w:top w:w="0" w:type="dxa"/>
              <w:left w:w="0" w:type="dxa"/>
              <w:right w:w="0" w:type="dxa"/>
            </w:tcMar>
            <w:vAlign w:val="center"/>
          </w:tcPr>
          <w:p>
            <w:pPr>
              <w:pStyle w:val="TableContents"/>
              <w:bidi w:val="0"/>
              <w:spacing w:before="94" w:after="40"/>
              <w:jc w:val="left"/>
              <w:rPr>
                <w:rFonts w:ascii="Arial" w:hAnsi="Arial"/>
                <w:b/>
                <w:color w:val="000000"/>
                <w:sz w:val="18"/>
              </w:rPr>
            </w:pPr>
            <w:r>
              <w:rPr>
                <w:rFonts w:ascii="Arial" w:hAnsi="Arial"/>
                <w:b/>
                <w:color w:val="000000"/>
                <w:sz w:val="18"/>
              </w:rPr>
              <w:t>ASX +security code</w:t>
            </w:r>
          </w:p>
        </w:tc>
        <w:tc>
          <w:tcPr>
            <w:tcW w:w="249" w:type="dxa"/>
            <w:tcBorders>
              <w:bottom w:val="single" w:sz="4" w:space="0" w:color="000000"/>
            </w:tcBorders>
            <w:tcMar>
              <w:top w:w="0" w:type="dxa"/>
              <w:left w:w="0" w:type="dxa"/>
              <w:right w:w="0" w:type="dxa"/>
            </w:tcMar>
            <w:vAlign w:val="center"/>
          </w:tcPr>
          <w:p>
            <w:pPr>
              <w:pStyle w:val="TableContents"/>
              <w:bidi w:val="0"/>
              <w:spacing w:before="94" w:after="40"/>
              <w:ind w:left="0" w:right="0" w:firstLine="58"/>
              <w:jc w:val="left"/>
              <w:rPr/>
            </w:pPr>
            <w:r>
              <w:rPr/>
              <w:t> </w:t>
            </w:r>
          </w:p>
        </w:tc>
      </w:tr>
      <w:tr>
        <w:trPr/>
        <w:tc>
          <w:tcPr>
            <w:tcW w:w="3029" w:type="dxa"/>
            <w:tcBorders>
              <w:left w:val="single" w:sz="4" w:space="0" w:color="999999"/>
              <w:bottom w:val="single" w:sz="4" w:space="0" w:color="999999"/>
              <w:right w:val="single" w:sz="4" w:space="0" w:color="999999"/>
            </w:tcBorders>
            <w:tcMar>
              <w:top w:w="0" w:type="dxa"/>
            </w:tcMar>
            <w:vAlign w:val="center"/>
          </w:tcPr>
          <w:p>
            <w:pPr>
              <w:pStyle w:val="TableContents"/>
              <w:bidi w:val="0"/>
              <w:spacing w:before="60" w:after="60"/>
              <w:ind w:left="0" w:right="0" w:firstLine="58"/>
              <w:jc w:val="left"/>
              <w:rPr>
                <w:rFonts w:ascii="Arial" w:hAnsi="Arial"/>
                <w:color w:val="000000"/>
                <w:sz w:val="18"/>
              </w:rPr>
            </w:pPr>
            <w:r>
              <w:rPr>
                <w:rFonts w:ascii="Arial" w:hAnsi="Arial"/>
                <w:color w:val="000000"/>
                <w:sz w:val="18"/>
              </w:rPr>
              <w:t>NVXAD: PERFORMANCE RIGHTS</w:t>
            </w:r>
          </w:p>
        </w:tc>
        <w:tc>
          <w:tcPr>
            <w:tcW w:w="249" w:type="dxa"/>
            <w:tcBorders>
              <w:bottom w:val="single" w:sz="4" w:space="0" w:color="000000"/>
              <w:right w:val="single" w:sz="4" w:space="0" w:color="999999"/>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1" w:after="283"/>
        <w:jc w:val="left"/>
        <w:rPr/>
      </w:pPr>
      <w:r>
        <w:rPr/>
        <w:t> </w:t>
      </w:r>
    </w:p>
    <w:p>
      <w:pPr>
        <w:pStyle w:val="TextBody"/>
        <w:bidi w:val="0"/>
        <w:spacing w:before="94" w:after="283"/>
        <w:jc w:val="left"/>
        <w:rPr>
          <w:rFonts w:ascii="Arial" w:hAnsi="Arial"/>
          <w:b/>
          <w:color w:val="000000"/>
          <w:sz w:val="18"/>
        </w:rPr>
      </w:pPr>
      <w:r>
        <w:rPr>
          <w:rFonts w:ascii="Arial" w:hAnsi="Arial"/>
          <w:b/>
          <w:color w:val="000000"/>
          <w:sz w:val="18"/>
        </w:rPr>
        <w:t>Date the +securities the subject of this notification were issued</w:t>
      </w:r>
    </w:p>
    <w:p>
      <w:pPr>
        <w:pStyle w:val="TextBody"/>
        <w:bidi w:val="0"/>
        <w:spacing w:before="105" w:after="283"/>
        <w:jc w:val="left"/>
        <w:rPr>
          <w:rFonts w:ascii="Arial" w:hAnsi="Arial"/>
          <w:color w:val="000000"/>
          <w:sz w:val="18"/>
        </w:rPr>
      </w:pPr>
      <w:r>
        <w:rPr>
          <w:rFonts w:ascii="Arial" w:hAnsi="Arial"/>
          <w:color w:val="000000"/>
          <w:sz w:val="18"/>
        </w:rPr>
        <w:t>22/10/2026</w:t>
      </w:r>
    </w:p>
    <w:p>
      <w:pPr>
        <w:pStyle w:val="TextBody"/>
        <w:bidi w:val="0"/>
        <w:spacing w:before="153" w:after="283"/>
        <w:jc w:val="left"/>
        <w:rPr>
          <w:rFonts w:ascii="Arial" w:hAnsi="Arial"/>
          <w:b/>
          <w:color w:val="000000"/>
          <w:sz w:val="18"/>
        </w:rPr>
      </w:pPr>
      <w:r>
        <w:rPr>
          <w:rFonts w:ascii="Arial" w:hAnsi="Arial"/>
          <w:b/>
          <w:color w:val="000000"/>
          <w:sz w:val="18"/>
        </w:rPr>
        <w:t>Will all the +securities issued in this class rank equally in all respects from their issue date?</w:t>
      </w:r>
    </w:p>
    <w:p>
      <w:pPr>
        <w:pStyle w:val="TextBody"/>
        <w:bidi w:val="0"/>
        <w:jc w:val="left"/>
        <w:rPr>
          <w:rFonts w:ascii="Arial" w:hAnsi="Arial"/>
          <w:color w:val="000000"/>
          <w:sz w:val="18"/>
        </w:rPr>
      </w:pPr>
      <w:r>
        <w:rPr>
          <w:rFonts w:ascii="Arial" w:hAnsi="Arial"/>
          <w:color w:val="000000"/>
          <w:sz w:val="18"/>
        </w:rPr>
        <w:t>Yes</w:t>
      </w:r>
    </w:p>
    <w:p>
      <w:pPr>
        <w:pStyle w:val="TextBody"/>
        <w:bidi w:val="0"/>
        <w:jc w:val="left"/>
        <w:rPr/>
      </w:pPr>
      <w:r>
        <w:rPr/>
        <w:t> </w:t>
      </w:r>
    </w:p>
    <w:p>
      <w:pPr>
        <w:pStyle w:val="TextBody"/>
        <w:bidi w:val="0"/>
        <w:spacing w:before="153" w:after="283"/>
        <w:jc w:val="left"/>
        <w:rPr>
          <w:rFonts w:ascii="Arial" w:hAnsi="Arial"/>
          <w:b/>
          <w:color w:val="000000"/>
          <w:sz w:val="18"/>
        </w:rPr>
      </w:pPr>
      <w:r>
        <w:rPr>
          <w:rFonts w:ascii="Arial" w:hAnsi="Arial"/>
          <w:b/>
          <w:color w:val="000000"/>
          <w:sz w:val="18"/>
        </w:rPr>
        <w:t>Were any of the +securities issued to +key management personnel (KMP) or an associate?</w:t>
      </w:r>
    </w:p>
    <w:p>
      <w:pPr>
        <w:pStyle w:val="TextBody"/>
        <w:bidi w:val="0"/>
        <w:jc w:val="left"/>
        <w:rPr>
          <w:rFonts w:ascii="Arial" w:hAnsi="Arial"/>
          <w:color w:val="000000"/>
          <w:sz w:val="18"/>
        </w:rPr>
      </w:pPr>
      <w:r>
        <w:rPr>
          <w:rFonts w:ascii="Arial" w:hAnsi="Arial"/>
          <w:color w:val="000000"/>
          <w:sz w:val="18"/>
        </w:rPr>
        <w:t>No</w:t>
      </w:r>
    </w:p>
    <w:p>
      <w:pPr>
        <w:pStyle w:val="TextBody"/>
        <w:bidi w:val="0"/>
        <w:jc w:val="left"/>
        <w:rPr/>
      </w:pPr>
      <w:r>
        <w:rPr/>
        <w:t> </w:t>
      </w:r>
    </w:p>
    <w:p>
      <w:pPr>
        <w:pStyle w:val="TextBody"/>
        <w:bidi w:val="0"/>
        <w:spacing w:before="10" w:after="283"/>
        <w:jc w:val="left"/>
        <w:rPr/>
      </w:pPr>
      <w:r>
        <w:rPr/>
        <w:t> </w:t>
      </w:r>
    </w:p>
    <w:p>
      <w:pPr>
        <w:pStyle w:val="TextBody"/>
        <w:bidi w:val="0"/>
        <w:spacing w:before="95" w:after="283"/>
        <w:jc w:val="left"/>
        <w:rPr>
          <w:rFonts w:ascii="Arial" w:hAnsi="Arial"/>
          <w:b/>
          <w:color w:val="000000"/>
          <w:sz w:val="18"/>
        </w:rPr>
      </w:pPr>
      <w:r>
        <w:rPr>
          <w:rFonts w:ascii="Arial" w:hAnsi="Arial"/>
          <w:b/>
          <w:color w:val="000000"/>
          <w:sz w:val="18"/>
        </w:rPr>
        <w:t>Please provide a URL link for a document lodged with ASX setting out the material terms of the +securities being issued.</w:t>
      </w:r>
    </w:p>
    <w:p>
      <w:pPr>
        <w:pStyle w:val="TextBody"/>
        <w:bidi w:val="0"/>
        <w:jc w:val="left"/>
        <w:rPr/>
      </w:pPr>
      <w:r>
        <w:rPr/>
        <w:t> </w:t>
      </w:r>
    </w:p>
    <w:tbl>
      <w:tblPr>
        <w:tblW w:w="7814" w:type="dxa"/>
        <w:jc w:val="left"/>
        <w:tblInd w:w="0" w:type="dxa"/>
        <w:tblLayout w:type="fixed"/>
        <w:tblCellMar>
          <w:top w:w="28" w:type="dxa"/>
          <w:left w:w="28" w:type="dxa"/>
          <w:bottom w:w="28" w:type="dxa"/>
          <w:right w:w="28" w:type="dxa"/>
        </w:tblCellMar>
      </w:tblPr>
      <w:tblGrid>
        <w:gridCol w:w="7814"/>
      </w:tblGrid>
      <w:tr>
        <w:trPr/>
        <w:tc>
          <w:tcPr>
            <w:tcW w:w="7814" w:type="dxa"/>
            <w:tcBorders/>
            <w:vAlign w:val="center"/>
          </w:tcPr>
          <w:p>
            <w:pPr>
              <w:pStyle w:val="TableContents"/>
              <w:bidi w:val="0"/>
              <w:spacing w:before="0" w:after="283"/>
              <w:ind w:left="0" w:right="0" w:firstLine="58"/>
              <w:jc w:val="left"/>
              <w:rPr>
                <w:sz w:val="4"/>
                <w:szCs w:val="4"/>
              </w:rPr>
            </w:pPr>
            <w:r>
              <w:rPr>
                <w:sz w:val="4"/>
                <w:szCs w:val="4"/>
              </w:rPr>
            </w:r>
          </w:p>
        </w:tc>
      </w:tr>
      <w:tr>
        <w:trPr/>
        <w:tc>
          <w:tcPr>
            <w:tcW w:w="7814" w:type="dxa"/>
            <w:tcBorders>
              <w:top w:val="single" w:sz="4" w:space="0" w:color="999999"/>
              <w:left w:val="single" w:sz="4" w:space="0" w:color="999999"/>
              <w:bottom w:val="single" w:sz="4" w:space="0" w:color="999999"/>
              <w:right w:val="single" w:sz="4" w:space="0" w:color="999999"/>
            </w:tcBorders>
            <w:vAlign w:val="center"/>
          </w:tcPr>
          <w:p>
            <w:pPr>
              <w:pStyle w:val="TableContents"/>
              <w:bidi w:val="0"/>
              <w:spacing w:before="60" w:after="60"/>
              <w:ind w:left="0" w:right="0" w:firstLine="58"/>
              <w:jc w:val="left"/>
              <w:rPr>
                <w:rFonts w:ascii="Times New Roman" w:hAnsi="Times New Roman"/>
                <w:sz w:val="20"/>
              </w:rPr>
            </w:pPr>
            <w:r>
              <w:rPr>
                <w:rFonts w:ascii="Times New Roman" w:hAnsi="Times New Roman"/>
                <w:sz w:val="20"/>
              </w:rPr>
              <w:t>https://asx.api.cmfyapp.com/asx-research/1.0/file/2924-03068742-2A1660572&amp;v=undefined</w:t>
            </w:r>
          </w:p>
        </w:tc>
      </w:tr>
    </w:tbl>
    <w:p>
      <w:pPr>
        <w:pStyle w:val="TextBody"/>
        <w:bidi w:val="0"/>
        <w:spacing w:before="7" w:after="283"/>
        <w:jc w:val="left"/>
        <w:rPr/>
      </w:pPr>
      <w:r>
        <w:rPr/>
        <w:t> </w:t>
      </w:r>
    </w:p>
    <w:p>
      <w:pPr>
        <w:pStyle w:val="TextBody"/>
        <w:bidi w:val="0"/>
        <w:spacing w:before="94" w:after="283"/>
        <w:jc w:val="left"/>
        <w:rPr>
          <w:rFonts w:ascii="Arial" w:hAnsi="Arial"/>
          <w:b/>
          <w:color w:val="000000"/>
          <w:sz w:val="18"/>
        </w:rPr>
      </w:pPr>
      <w:r>
        <w:rPr>
          <w:rFonts w:ascii="Arial" w:hAnsi="Arial"/>
          <w:b/>
          <w:color w:val="000000"/>
          <w:sz w:val="18"/>
        </w:rPr>
        <w:t>Any other information the entity wishes to provide about the +securities the subject of this notification</w:t>
      </w:r>
    </w:p>
    <w:p>
      <w:pPr>
        <w:pStyle w:val="TextBody"/>
        <w:bidi w:val="0"/>
        <w:jc w:val="left"/>
        <w:rPr/>
      </w:pPr>
      <w:r>
        <w:rPr/>
        <w:t> </w:t>
      </w:r>
    </w:p>
    <w:tbl>
      <w:tblPr>
        <w:tblW w:w="264" w:type="dxa"/>
        <w:jc w:val="left"/>
        <w:tblInd w:w="0" w:type="dxa"/>
        <w:tblLayout w:type="fixed"/>
        <w:tblCellMar>
          <w:top w:w="28" w:type="dxa"/>
          <w:left w:w="28" w:type="dxa"/>
          <w:bottom w:w="28" w:type="dxa"/>
          <w:right w:w="28" w:type="dxa"/>
        </w:tblCellMar>
      </w:tblPr>
      <w:tblGrid>
        <w:gridCol w:w="264"/>
      </w:tblGrid>
      <w:tr>
        <w:trPr/>
        <w:tc>
          <w:tcPr>
            <w:tcW w:w="264" w:type="dxa"/>
            <w:tcBorders/>
            <w:vAlign w:val="center"/>
          </w:tcPr>
          <w:p>
            <w:pPr>
              <w:pStyle w:val="TableContents"/>
              <w:bidi w:val="0"/>
              <w:spacing w:before="0" w:after="283"/>
              <w:ind w:left="0" w:right="0" w:firstLine="58"/>
              <w:jc w:val="left"/>
              <w:rPr>
                <w:sz w:val="4"/>
                <w:szCs w:val="4"/>
              </w:rPr>
            </w:pPr>
            <w:r>
              <w:rPr>
                <w:sz w:val="4"/>
                <w:szCs w:val="4"/>
              </w:rPr>
            </w:r>
          </w:p>
        </w:tc>
      </w:tr>
      <w:tr>
        <w:trPr/>
        <w:tc>
          <w:tcPr>
            <w:tcW w:w="264" w:type="dxa"/>
            <w:tcBorders>
              <w:top w:val="single" w:sz="4" w:space="0" w:color="999999"/>
              <w:left w:val="single" w:sz="4" w:space="0" w:color="999999"/>
              <w:bottom w:val="single" w:sz="4" w:space="0" w:color="999999"/>
              <w:right w:val="single" w:sz="4" w:space="0" w:color="999999"/>
            </w:tcBorders>
            <w:vAlign w:val="center"/>
          </w:tcPr>
          <w:p>
            <w:pPr>
              <w:pStyle w:val="TableContents"/>
              <w:bidi w:val="0"/>
              <w:spacing w:before="60" w:after="60"/>
              <w:ind w:left="0" w:right="0" w:firstLine="58"/>
              <w:jc w:val="left"/>
              <w:rPr/>
            </w:pPr>
            <w:r>
              <w:rPr/>
              <w:t> </w:t>
            </w:r>
          </w:p>
        </w:tc>
      </w:tr>
    </w:tbl>
    <w:p>
      <w:pPr>
        <w:pStyle w:val="TextBody"/>
        <w:bidi w:val="0"/>
        <w:jc w:val="left"/>
        <w:rPr/>
      </w:pPr>
      <w:r>
        <w:rPr/>
        <w:t> </w:t>
      </w:r>
    </w:p>
    <w:p>
      <w:pPr>
        <w:pStyle w:val="TextBody"/>
        <w:bidi w:val="0"/>
        <w:spacing w:before="8" w:after="283"/>
        <w:jc w:val="left"/>
        <w:rPr/>
      </w:pPr>
      <w:r>
        <w:rPr/>
        <w:t> </w:t>
      </w:r>
    </w:p>
    <w:p>
      <w:pPr>
        <w:pStyle w:val="TextBody"/>
        <w:bidi w:val="0"/>
        <w:spacing w:before="95" w:after="283"/>
        <w:jc w:val="left"/>
        <w:rPr>
          <w:rFonts w:ascii="Arial" w:hAnsi="Arial"/>
          <w:color w:val="000000"/>
          <w:sz w:val="18"/>
        </w:rPr>
      </w:pPr>
      <w:r>
        <w:rPr>
          <w:rFonts w:ascii="Arial" w:hAnsi="Arial"/>
          <w:color w:val="000000"/>
          <w:sz w:val="18"/>
        </w:rPr>
        <w:t>Issue details</w:t>
      </w:r>
    </w:p>
    <w:p>
      <w:pPr>
        <w:pStyle w:val="TextBody"/>
        <w:pBdr>
          <w:bottom w:val="single" w:sz="4" w:space="1" w:color="E3E3E3"/>
        </w:pBdr>
        <w:bidi w:val="0"/>
        <w:spacing w:before="3"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37" w:after="283"/>
        <w:jc w:val="left"/>
        <w:rPr>
          <w:rFonts w:ascii="Arial" w:hAnsi="Arial"/>
          <w:b/>
          <w:color w:val="000000"/>
          <w:sz w:val="18"/>
        </w:rPr>
      </w:pPr>
      <w:r>
        <w:rPr>
          <w:rFonts w:ascii="Arial" w:hAnsi="Arial"/>
          <w:b/>
          <w:color w:val="000000"/>
          <w:sz w:val="18"/>
        </w:rPr>
        <w:t>Number of +securities</w:t>
      </w:r>
    </w:p>
    <w:p>
      <w:pPr>
        <w:pStyle w:val="TextBody"/>
        <w:bidi w:val="0"/>
        <w:spacing w:before="105" w:after="283"/>
        <w:jc w:val="left"/>
        <w:rPr>
          <w:rFonts w:ascii="Arial" w:hAnsi="Arial"/>
          <w:color w:val="000000"/>
          <w:sz w:val="18"/>
        </w:rPr>
      </w:pPr>
      <w:r>
        <w:rPr>
          <w:rFonts w:ascii="Arial" w:hAnsi="Arial"/>
          <w:color w:val="000000"/>
          <w:sz w:val="18"/>
        </w:rPr>
        <w:t>2,069,742</w:t>
      </w:r>
    </w:p>
    <w:p>
      <w:pPr>
        <w:pStyle w:val="TextBody"/>
        <w:bidi w:val="0"/>
        <w:jc w:val="left"/>
        <w:rPr/>
      </w:pPr>
      <w:r>
        <w:rPr/>
        <w:t> </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7536"/>
        <w:gridCol w:w="466"/>
      </w:tblGrid>
      <w:tr>
        <w:trPr/>
        <w:tc>
          <w:tcPr>
            <w:tcW w:w="75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7536" w:type="dxa"/>
            <w:tcBorders>
              <w:top w:val="single" w:sz="4" w:space="0" w:color="7F7F7F"/>
            </w:tcBorders>
            <w:tcMar>
              <w:left w:w="0" w:type="dxa"/>
              <w:bottom w:w="0" w:type="dxa"/>
              <w:right w:w="0" w:type="dxa"/>
            </w:tcMar>
            <w:vAlign w:val="center"/>
          </w:tcPr>
          <w:p>
            <w:pPr>
              <w:pStyle w:val="TableContents"/>
              <w:bidi w:val="0"/>
              <w:spacing w:before="14" w:after="283"/>
              <w:ind w:left="0" w:right="0" w:firstLine="20"/>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36"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3G - Notification of issue, conversion or payment up of unquoted equity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92" w:type="dxa"/>
        <w:jc w:val="left"/>
        <w:tblInd w:w="0" w:type="dxa"/>
        <w:tblLayout w:type="fixed"/>
        <w:tblCellMar>
          <w:top w:w="28" w:type="dxa"/>
          <w:left w:w="28" w:type="dxa"/>
          <w:bottom w:w="28" w:type="dxa"/>
          <w:right w:w="28" w:type="dxa"/>
        </w:tblCellMar>
      </w:tblPr>
      <w:tblGrid>
        <w:gridCol w:w="526"/>
        <w:gridCol w:w="7566"/>
      </w:tblGrid>
      <w:tr>
        <w:trPr/>
        <w:tc>
          <w:tcPr>
            <w:tcW w:w="526" w:type="dxa"/>
            <w:tcBorders/>
            <w:vAlign w:val="center"/>
          </w:tcPr>
          <w:p>
            <w:pPr>
              <w:pStyle w:val="TableContents"/>
              <w:bidi w:val="0"/>
              <w:spacing w:before="0" w:after="283"/>
              <w:jc w:val="left"/>
              <w:rPr>
                <w:sz w:val="4"/>
                <w:szCs w:val="4"/>
              </w:rPr>
            </w:pPr>
            <w:r>
              <w:rPr>
                <w:sz w:val="4"/>
                <w:szCs w:val="4"/>
              </w:rPr>
            </w:r>
          </w:p>
        </w:tc>
        <w:tc>
          <w:tcPr>
            <w:tcW w:w="7566"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7175" cy="266700"/>
                          </a:xfrm>
                          <a:prstGeom prst="rect">
                            <a:avLst/>
                          </a:prstGeom>
                        </pic:spPr>
                      </pic:pic>
                    </a:graphicData>
                  </a:graphic>
                </wp:inline>
              </w:drawing>
            </w:r>
          </w:p>
        </w:tc>
        <w:tc>
          <w:tcPr>
            <w:tcW w:w="7566"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3G - Notification of issue, conversion or payment up of unquoted equity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756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4 - +Securities on issue</w:t>
      </w:r>
    </w:p>
    <w:p>
      <w:pPr>
        <w:pStyle w:val="TextBody"/>
        <w:pBdr>
          <w:bottom w:val="single" w:sz="8" w:space="1" w:color="0C3A6C"/>
        </w:pBdr>
        <w:bidi w:val="0"/>
        <w:spacing w:before="3" w:after="283"/>
        <w:jc w:val="left"/>
        <w:rPr/>
      </w:pPr>
      <w:r>
        <w:rPr/>
        <w:t> </w:t>
      </w:r>
    </w:p>
    <w:p>
      <w:pPr>
        <w:pStyle w:val="TextBody"/>
        <w:bidi w:val="0"/>
        <w:jc w:val="left"/>
        <w:rPr/>
      </w:pPr>
      <w:r>
        <w:rPr/>
        <w:t> </w:t>
      </w:r>
    </w:p>
    <w:p>
      <w:pPr>
        <w:pStyle w:val="TextBody"/>
        <w:bidi w:val="0"/>
        <w:spacing w:before="11" w:after="283"/>
        <w:jc w:val="left"/>
        <w:rPr/>
      </w:pPr>
      <w:r>
        <w:rPr/>
        <w:t> </w:t>
      </w:r>
    </w:p>
    <w:p>
      <w:pPr>
        <w:pStyle w:val="TextBody"/>
        <w:bidi w:val="0"/>
        <w:jc w:val="left"/>
        <w:rPr>
          <w:rFonts w:ascii="Arial" w:hAnsi="Arial"/>
          <w:b/>
          <w:color w:val="000000"/>
          <w:sz w:val="18"/>
        </w:rPr>
      </w:pPr>
      <w:r>
        <w:rPr>
          <w:rFonts w:ascii="Arial" w:hAnsi="Arial"/>
          <w:b/>
          <w:color w:val="000000"/>
          <w:sz w:val="18"/>
        </w:rPr>
        <w:t>Following the issue, conversion or payment up of the +securities the subject of this notification, the +securities of the entity will comprise:</w:t>
      </w:r>
    </w:p>
    <w:p>
      <w:pPr>
        <w:pStyle w:val="TextBody"/>
        <w:bidi w:val="0"/>
        <w:spacing w:before="83" w:after="283"/>
        <w:jc w:val="left"/>
        <w:rPr>
          <w:rFonts w:ascii="Arial" w:hAnsi="Arial"/>
          <w:color w:val="000000"/>
          <w:sz w:val="18"/>
        </w:rPr>
      </w:pPr>
      <w:r>
        <w:rPr>
          <w:rFonts w:ascii="Arial" w:hAnsi="Arial"/>
          <w:color w:val="000000"/>
          <w:sz w:val="18"/>
        </w:rPr>
        <w:t>The figures in parts 4.1 and 4.2 below are automatically generated and may not reflect the entity's current issued capital if other Appendix 2A, Appendix 3G or Appendix 3H forms are currently with ASX for processing.</w:t>
      </w:r>
    </w:p>
    <w:p>
      <w:pPr>
        <w:pStyle w:val="TextBody"/>
        <w:bidi w:val="0"/>
        <w:spacing w:before="3" w:after="283"/>
        <w:jc w:val="left"/>
        <w:rPr/>
      </w:pPr>
      <w:r>
        <w:rPr/>
        <w:t> </w:t>
      </w:r>
    </w:p>
    <w:p>
      <w:pPr>
        <w:pStyle w:val="TextBody"/>
        <w:bidi w:val="0"/>
        <w:spacing w:before="95" w:after="283"/>
        <w:jc w:val="left"/>
        <w:rPr>
          <w:rFonts w:ascii="Arial" w:hAnsi="Arial"/>
          <w:sz w:val="18"/>
        </w:rPr>
      </w:pPr>
      <w:r>
        <w:rPr>
          <w:rFonts w:ascii="Arial" w:hAnsi="Arial"/>
          <w:b/>
          <w:color w:val="000000"/>
          <w:sz w:val="18"/>
        </w:rPr>
        <w:t>4.1 Quoted +securities (Total number of each +class of +securities issued and quoted on ASX)</w:t>
      </w:r>
      <w:r>
        <w:rPr>
          <w:rFonts w:ascii="Arial" w:hAnsi="Arial"/>
          <w:color w:val="000000"/>
          <w:sz w:val="18"/>
        </w:rPr>
        <w:t xml:space="preserve"> </w:t>
      </w:r>
    </w:p>
    <w:p>
      <w:pPr>
        <w:pStyle w:val="TextBody"/>
        <w:bidi w:val="0"/>
        <w:spacing w:before="11" w:after="283"/>
        <w:jc w:val="left"/>
        <w:rPr/>
      </w:pPr>
      <w:r>
        <w:rPr/>
        <w:t> </w:t>
      </w:r>
    </w:p>
    <w:tbl>
      <w:tblPr>
        <w:tblW w:w="5203" w:type="dxa"/>
        <w:jc w:val="left"/>
        <w:tblInd w:w="0" w:type="dxa"/>
        <w:tblLayout w:type="fixed"/>
        <w:tblCellMar>
          <w:top w:w="28" w:type="dxa"/>
          <w:left w:w="28" w:type="dxa"/>
          <w:bottom w:w="28" w:type="dxa"/>
          <w:right w:w="28" w:type="dxa"/>
        </w:tblCellMar>
      </w:tblPr>
      <w:tblGrid>
        <w:gridCol w:w="3181"/>
        <w:gridCol w:w="146"/>
        <w:gridCol w:w="187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Total number of</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ASX +security code and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 : ORDINARY FULLY PAID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997,927,386</w:t>
            </w:r>
          </w:p>
        </w:tc>
      </w:tr>
    </w:tbl>
    <w:p>
      <w:pPr>
        <w:pStyle w:val="TextBody"/>
        <w:bidi w:val="0"/>
        <w:jc w:val="left"/>
        <w:rPr/>
      </w:pPr>
      <w:r>
        <w:rPr/>
        <w:t> </w:t>
      </w:r>
    </w:p>
    <w:p>
      <w:pPr>
        <w:pStyle w:val="TextBody"/>
        <w:bidi w:val="0"/>
        <w:spacing w:before="10" w:after="283"/>
        <w:jc w:val="left"/>
        <w:rPr/>
      </w:pPr>
      <w:r>
        <w:rPr/>
        <w:t> </w:t>
      </w:r>
    </w:p>
    <w:p>
      <w:pPr>
        <w:pStyle w:val="TextBody"/>
        <w:bidi w:val="0"/>
        <w:jc w:val="left"/>
        <w:rPr>
          <w:rFonts w:ascii="Arial" w:hAnsi="Arial"/>
          <w:b/>
          <w:color w:val="000000"/>
          <w:sz w:val="18"/>
        </w:rPr>
      </w:pPr>
      <w:r>
        <w:rPr>
          <w:rFonts w:ascii="Arial" w:hAnsi="Arial"/>
          <w:b/>
          <w:color w:val="000000"/>
          <w:sz w:val="18"/>
        </w:rPr>
        <w:t>4.2 Unquoted +securities (Total number of each +class of +securities issued but not quoted on ASX)</w:t>
      </w:r>
    </w:p>
    <w:p>
      <w:pPr>
        <w:pStyle w:val="TextBody"/>
        <w:bidi w:val="0"/>
        <w:spacing w:before="8" w:after="283"/>
        <w:jc w:val="left"/>
        <w:rPr/>
      </w:pPr>
      <w:r>
        <w:rPr/>
        <w:t> </w:t>
      </w:r>
    </w:p>
    <w:tbl>
      <w:tblPr>
        <w:tblW w:w="7828" w:type="dxa"/>
        <w:jc w:val="left"/>
        <w:tblInd w:w="0" w:type="dxa"/>
        <w:tblLayout w:type="fixed"/>
        <w:tblCellMar>
          <w:top w:w="28" w:type="dxa"/>
          <w:left w:w="28" w:type="dxa"/>
          <w:bottom w:w="28" w:type="dxa"/>
          <w:right w:w="28" w:type="dxa"/>
        </w:tblCellMar>
      </w:tblPr>
      <w:tblGrid>
        <w:gridCol w:w="5806"/>
        <w:gridCol w:w="146"/>
        <w:gridCol w:w="1876"/>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Total number of</w:t>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ASX +security code and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101" w:after="283"/>
              <w:jc w:val="left"/>
              <w:rPr>
                <w:rFonts w:ascii="Arial" w:hAnsi="Arial"/>
                <w:color w:val="000000"/>
                <w:sz w:val="18"/>
              </w:rPr>
            </w:pPr>
            <w:r>
              <w:rPr>
                <w:rFonts w:ascii="Arial" w:hAnsi="Arial"/>
                <w:color w:val="000000"/>
                <w:sz w:val="18"/>
              </w:rPr>
              <w:t>NVXAD : PERFORMANCE RIGHTS</w:t>
            </w:r>
          </w:p>
        </w:tc>
        <w:tc>
          <w:tcPr>
            <w:tcW w:w="146" w:type="dxa"/>
            <w:tcBorders/>
            <w:tcMar>
              <w:top w:w="0" w:type="dxa"/>
              <w:left w:w="0" w:type="dxa"/>
              <w:bottom w:w="0" w:type="dxa"/>
              <w:right w:w="0" w:type="dxa"/>
            </w:tcMar>
            <w:vAlign w:val="center"/>
          </w:tcPr>
          <w:p>
            <w:pPr>
              <w:pStyle w:val="TableContents"/>
              <w:bidi w:val="0"/>
              <w:spacing w:before="101" w:after="283"/>
              <w:jc w:val="left"/>
              <w:rPr/>
            </w:pPr>
            <w:r>
              <w:rPr/>
              <w:t> </w:t>
            </w:r>
          </w:p>
        </w:tc>
        <w:tc>
          <w:tcPr>
            <w:tcW w:w="1876" w:type="dxa"/>
            <w:tcBorders/>
            <w:tcMar>
              <w:top w:w="0" w:type="dxa"/>
              <w:left w:w="0" w:type="dxa"/>
              <w:bottom w:w="0" w:type="dxa"/>
              <w:right w:w="0" w:type="dxa"/>
            </w:tcMar>
            <w:vAlign w:val="center"/>
          </w:tcPr>
          <w:p>
            <w:pPr>
              <w:pStyle w:val="TableContents"/>
              <w:bidi w:val="0"/>
              <w:spacing w:before="101" w:after="283"/>
              <w:jc w:val="right"/>
              <w:rPr>
                <w:rFonts w:ascii="Arial" w:hAnsi="Arial"/>
                <w:color w:val="000000"/>
                <w:sz w:val="18"/>
              </w:rPr>
            </w:pPr>
            <w:r>
              <w:rPr>
                <w:rFonts w:ascii="Arial" w:hAnsi="Arial"/>
                <w:color w:val="000000"/>
                <w:sz w:val="18"/>
              </w:rPr>
              <w:t>22,693,082</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2" w:after="283"/>
              <w:jc w:val="left"/>
              <w:rPr>
                <w:rFonts w:ascii="Arial" w:hAnsi="Arial"/>
                <w:color w:val="000000"/>
                <w:sz w:val="18"/>
              </w:rPr>
            </w:pPr>
            <w:r>
              <w:rPr>
                <w:rFonts w:ascii="Arial" w:hAnsi="Arial"/>
                <w:color w:val="000000"/>
                <w:sz w:val="18"/>
              </w:rPr>
              <w:t>NVXAA : OPTION EXPIRING VARIOUS DATES EX VARIOUS PRICES</w:t>
            </w:r>
          </w:p>
        </w:tc>
        <w:tc>
          <w:tcPr>
            <w:tcW w:w="146" w:type="dxa"/>
            <w:tcBorders/>
            <w:tcMar>
              <w:top w:w="0" w:type="dxa"/>
              <w:left w:w="0" w:type="dxa"/>
              <w:bottom w:w="0" w:type="dxa"/>
              <w:right w:w="0" w:type="dxa"/>
            </w:tcMar>
            <w:vAlign w:val="center"/>
          </w:tcPr>
          <w:p>
            <w:pPr>
              <w:pStyle w:val="TableContents"/>
              <w:bidi w:val="0"/>
              <w:spacing w:before="172" w:after="283"/>
              <w:jc w:val="left"/>
              <w:rPr/>
            </w:pPr>
            <w:r>
              <w:rPr/>
              <w:t> </w:t>
            </w:r>
          </w:p>
        </w:tc>
        <w:tc>
          <w:tcPr>
            <w:tcW w:w="1876" w:type="dxa"/>
            <w:tcBorders/>
            <w:tcMar>
              <w:top w:w="0" w:type="dxa"/>
              <w:left w:w="0" w:type="dxa"/>
              <w:bottom w:w="0" w:type="dxa"/>
              <w:right w:w="0" w:type="dxa"/>
            </w:tcMar>
            <w:vAlign w:val="center"/>
          </w:tcPr>
          <w:p>
            <w:pPr>
              <w:pStyle w:val="TableContents"/>
              <w:bidi w:val="0"/>
              <w:spacing w:before="172" w:after="283"/>
              <w:jc w:val="right"/>
              <w:rPr>
                <w:rFonts w:ascii="Arial" w:hAnsi="Arial"/>
                <w:color w:val="000000"/>
                <w:sz w:val="18"/>
              </w:rPr>
            </w:pPr>
            <w:r>
              <w:rPr>
                <w:rFonts w:ascii="Arial" w:hAnsi="Arial"/>
                <w:color w:val="000000"/>
                <w:sz w:val="18"/>
              </w:rPr>
              <w:t>14,016,667</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3" w:after="283"/>
              <w:jc w:val="left"/>
              <w:rPr>
                <w:rFonts w:ascii="Arial" w:hAnsi="Arial"/>
                <w:color w:val="000000"/>
                <w:sz w:val="18"/>
              </w:rPr>
            </w:pPr>
            <w:r>
              <w:rPr>
                <w:rFonts w:ascii="Arial" w:hAnsi="Arial"/>
                <w:color w:val="000000"/>
                <w:sz w:val="18"/>
              </w:rPr>
              <w:t>NVXAL : CONVERTIBLE NOTES</w:t>
            </w:r>
          </w:p>
        </w:tc>
        <w:tc>
          <w:tcPr>
            <w:tcW w:w="146" w:type="dxa"/>
            <w:tcBorders/>
            <w:tcMar>
              <w:top w:w="0" w:type="dxa"/>
              <w:left w:w="0" w:type="dxa"/>
              <w:bottom w:w="0" w:type="dxa"/>
              <w:right w:w="0" w:type="dxa"/>
            </w:tcMar>
            <w:vAlign w:val="center"/>
          </w:tcPr>
          <w:p>
            <w:pPr>
              <w:pStyle w:val="TableContents"/>
              <w:bidi w:val="0"/>
              <w:spacing w:before="173" w:after="283"/>
              <w:jc w:val="left"/>
              <w:rPr/>
            </w:pPr>
            <w:r>
              <w:rPr/>
              <w:t> </w:t>
            </w:r>
          </w:p>
        </w:tc>
        <w:tc>
          <w:tcPr>
            <w:tcW w:w="1876" w:type="dxa"/>
            <w:tcBorders/>
            <w:tcMar>
              <w:top w:w="0" w:type="dxa"/>
              <w:left w:w="0" w:type="dxa"/>
              <w:bottom w:w="0" w:type="dxa"/>
              <w:right w:w="0" w:type="dxa"/>
            </w:tcMar>
            <w:vAlign w:val="center"/>
          </w:tcPr>
          <w:p>
            <w:pPr>
              <w:pStyle w:val="TableContents"/>
              <w:bidi w:val="0"/>
              <w:spacing w:before="173" w:after="283"/>
              <w:jc w:val="right"/>
              <w:rPr>
                <w:rFonts w:ascii="Arial" w:hAnsi="Arial"/>
                <w:color w:val="000000"/>
                <w:sz w:val="18"/>
              </w:rPr>
            </w:pPr>
            <w:r>
              <w:rPr>
                <w:rFonts w:ascii="Arial" w:hAnsi="Arial"/>
                <w:color w:val="000000"/>
                <w:sz w:val="18"/>
              </w:rPr>
              <w:t>45,221,586</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3" w:after="283"/>
              <w:jc w:val="left"/>
              <w:rPr>
                <w:rFonts w:ascii="Arial" w:hAnsi="Arial"/>
                <w:color w:val="000000"/>
                <w:sz w:val="18"/>
              </w:rPr>
            </w:pPr>
            <w:r>
              <w:rPr>
                <w:rFonts w:ascii="Arial" w:hAnsi="Arial"/>
                <w:color w:val="000000"/>
                <w:sz w:val="18"/>
              </w:rPr>
              <w:t>NVXAH : CONVERTIBLE DEBENTURES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173" w:after="283"/>
              <w:jc w:val="right"/>
              <w:rPr>
                <w:rFonts w:ascii="Arial" w:hAnsi="Arial"/>
                <w:color w:val="000000"/>
                <w:sz w:val="18"/>
              </w:rPr>
            </w:pPr>
            <w:r>
              <w:rPr>
                <w:rFonts w:ascii="Arial" w:hAnsi="Arial"/>
                <w:color w:val="000000"/>
                <w:sz w:val="18"/>
              </w:rPr>
              <w:t>35,000,000</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3" w:after="283"/>
              <w:jc w:val="left"/>
              <w:rPr>
                <w:rFonts w:ascii="Arial" w:hAnsi="Arial"/>
                <w:color w:val="000000"/>
                <w:sz w:val="18"/>
              </w:rPr>
            </w:pPr>
            <w:r>
              <w:rPr>
                <w:rFonts w:ascii="Arial" w:hAnsi="Arial"/>
                <w:color w:val="000000"/>
                <w:sz w:val="18"/>
              </w:rPr>
              <w:t>NVXAM : Share Rights</w:t>
            </w:r>
          </w:p>
        </w:tc>
        <w:tc>
          <w:tcPr>
            <w:tcW w:w="146" w:type="dxa"/>
            <w:tcBorders/>
            <w:tcMar>
              <w:top w:w="0" w:type="dxa"/>
              <w:left w:w="0" w:type="dxa"/>
              <w:bottom w:w="0" w:type="dxa"/>
              <w:right w:w="0" w:type="dxa"/>
            </w:tcMar>
            <w:vAlign w:val="center"/>
          </w:tcPr>
          <w:p>
            <w:pPr>
              <w:pStyle w:val="TableContents"/>
              <w:bidi w:val="0"/>
              <w:spacing w:before="173" w:after="283"/>
              <w:jc w:val="left"/>
              <w:rPr/>
            </w:pPr>
            <w:r>
              <w:rPr/>
              <w:t> </w:t>
            </w:r>
          </w:p>
        </w:tc>
        <w:tc>
          <w:tcPr>
            <w:tcW w:w="1876" w:type="dxa"/>
            <w:tcBorders/>
            <w:tcMar>
              <w:top w:w="0" w:type="dxa"/>
              <w:left w:w="0" w:type="dxa"/>
              <w:bottom w:w="0" w:type="dxa"/>
              <w:right w:w="0" w:type="dxa"/>
            </w:tcMar>
            <w:vAlign w:val="center"/>
          </w:tcPr>
          <w:p>
            <w:pPr>
              <w:pStyle w:val="TableContents"/>
              <w:bidi w:val="0"/>
              <w:spacing w:before="173" w:after="283"/>
              <w:jc w:val="right"/>
              <w:rPr>
                <w:rFonts w:ascii="Arial" w:hAnsi="Arial"/>
                <w:color w:val="000000"/>
                <w:sz w:val="18"/>
              </w:rPr>
            </w:pPr>
            <w:r>
              <w:rPr>
                <w:rFonts w:ascii="Arial" w:hAnsi="Arial"/>
                <w:color w:val="000000"/>
                <w:sz w:val="18"/>
              </w:rPr>
              <w:t>1,371,566</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7536"/>
        <w:gridCol w:w="466"/>
      </w:tblGrid>
      <w:tr>
        <w:trPr/>
        <w:tc>
          <w:tcPr>
            <w:tcW w:w="75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7536" w:type="dxa"/>
            <w:tcBorders>
              <w:top w:val="single" w:sz="4" w:space="0" w:color="7F7F7F"/>
            </w:tcBorders>
            <w:tcMar>
              <w:left w:w="0" w:type="dxa"/>
              <w:bottom w:w="0" w:type="dxa"/>
              <w:right w:w="0" w:type="dxa"/>
            </w:tcMar>
            <w:vAlign w:val="center"/>
          </w:tcPr>
          <w:p>
            <w:pPr>
              <w:pStyle w:val="TableContents"/>
              <w:bidi w:val="0"/>
              <w:spacing w:before="14" w:after="283"/>
              <w:ind w:left="0" w:right="0" w:firstLine="20"/>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36"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3G - Notification of issue, conversion or payment up of unquoted equity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92" w:type="dxa"/>
        <w:jc w:val="left"/>
        <w:tblInd w:w="0" w:type="dxa"/>
        <w:tblLayout w:type="fixed"/>
        <w:tblCellMar>
          <w:top w:w="28" w:type="dxa"/>
          <w:left w:w="28" w:type="dxa"/>
          <w:bottom w:w="28" w:type="dxa"/>
          <w:right w:w="28" w:type="dxa"/>
        </w:tblCellMar>
      </w:tblPr>
      <w:tblGrid>
        <w:gridCol w:w="526"/>
        <w:gridCol w:w="7566"/>
      </w:tblGrid>
      <w:tr>
        <w:trPr/>
        <w:tc>
          <w:tcPr>
            <w:tcW w:w="526" w:type="dxa"/>
            <w:tcBorders/>
            <w:vAlign w:val="center"/>
          </w:tcPr>
          <w:p>
            <w:pPr>
              <w:pStyle w:val="TableContents"/>
              <w:bidi w:val="0"/>
              <w:spacing w:before="0" w:after="283"/>
              <w:jc w:val="left"/>
              <w:rPr>
                <w:sz w:val="4"/>
                <w:szCs w:val="4"/>
              </w:rPr>
            </w:pPr>
            <w:r>
              <w:rPr>
                <w:sz w:val="4"/>
                <w:szCs w:val="4"/>
              </w:rPr>
            </w:r>
          </w:p>
        </w:tc>
        <w:tc>
          <w:tcPr>
            <w:tcW w:w="7566"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7175" cy="266700"/>
                          </a:xfrm>
                          <a:prstGeom prst="rect">
                            <a:avLst/>
                          </a:prstGeom>
                        </pic:spPr>
                      </pic:pic>
                    </a:graphicData>
                  </a:graphic>
                </wp:inline>
              </w:drawing>
            </w:r>
          </w:p>
        </w:tc>
        <w:tc>
          <w:tcPr>
            <w:tcW w:w="7566"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3G - Notification of issue, conversion or payment up of unquoted equity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756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5 - Other Listing Rule requirements</w:t>
      </w:r>
    </w:p>
    <w:p>
      <w:pPr>
        <w:pStyle w:val="TextBody"/>
        <w:pBdr>
          <w:bottom w:val="single" w:sz="8" w:space="1" w:color="0C3A6C"/>
        </w:pBdr>
        <w:bidi w:val="0"/>
        <w:spacing w:before="3" w:after="283"/>
        <w:jc w:val="left"/>
        <w:rPr/>
      </w:pPr>
      <w:r>
        <w:rPr/>
        <w:t> </w:t>
      </w:r>
    </w:p>
    <w:p>
      <w:pPr>
        <w:pStyle w:val="TextBody"/>
        <w:bidi w:val="0"/>
        <w:spacing w:before="7" w:after="283"/>
        <w:jc w:val="left"/>
        <w:rPr/>
      </w:pPr>
      <w:r>
        <w:rPr/>
        <w:t> </w:t>
      </w:r>
    </w:p>
    <w:p>
      <w:pPr>
        <w:pStyle w:val="TextBody"/>
        <w:bidi w:val="0"/>
        <w:jc w:val="left"/>
        <w:rPr>
          <w:rFonts w:ascii="Arial" w:hAnsi="Arial"/>
          <w:b/>
          <w:color w:val="000000"/>
          <w:sz w:val="18"/>
        </w:rPr>
      </w:pPr>
      <w:r>
        <w:rPr>
          <w:rFonts w:ascii="Arial" w:hAnsi="Arial"/>
          <w:b/>
          <w:color w:val="000000"/>
          <w:sz w:val="18"/>
        </w:rPr>
        <w:t>5.1 Were the +securities issued under an exception in Listing Rule 7.2 and therefore the issue did not need any security holder approval under Listing Rule 7.1?</w:t>
      </w:r>
    </w:p>
    <w:p>
      <w:pPr>
        <w:pStyle w:val="TextBody"/>
        <w:bidi w:val="0"/>
        <w:jc w:val="left"/>
        <w:rPr>
          <w:rFonts w:ascii="Arial" w:hAnsi="Arial"/>
          <w:color w:val="000000"/>
          <w:sz w:val="18"/>
        </w:rPr>
      </w:pPr>
      <w:r>
        <w:rPr>
          <w:rFonts w:ascii="Arial" w:hAnsi="Arial"/>
          <w:color w:val="000000"/>
          <w:sz w:val="18"/>
        </w:rPr>
        <w:t>Yes</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5.1a Select the number of the applicable exception in Listing Rule 7.2</w:t>
      </w:r>
    </w:p>
    <w:p>
      <w:pPr>
        <w:pStyle w:val="TextBody"/>
        <w:bidi w:val="0"/>
        <w:jc w:val="left"/>
        <w:rPr>
          <w:rFonts w:ascii="Arial" w:hAnsi="Arial"/>
          <w:color w:val="000000"/>
          <w:sz w:val="18"/>
        </w:rPr>
      </w:pPr>
      <w:r>
        <w:rPr>
          <w:rFonts w:ascii="Arial" w:hAnsi="Arial"/>
          <w:color w:val="000000"/>
          <w:sz w:val="18"/>
        </w:rPr>
        <w:t>13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7536"/>
        <w:gridCol w:w="466"/>
      </w:tblGrid>
      <w:tr>
        <w:trPr/>
        <w:tc>
          <w:tcPr>
            <w:tcW w:w="75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ind w:left="0" w:right="0" w:firstLine="20"/>
              <w:jc w:val="left"/>
              <w:rPr>
                <w:sz w:val="4"/>
                <w:szCs w:val="4"/>
              </w:rPr>
            </w:pPr>
            <w:r>
              <w:rPr>
                <w:sz w:val="4"/>
                <w:szCs w:val="4"/>
              </w:rPr>
            </w:r>
          </w:p>
        </w:tc>
      </w:tr>
      <w:tr>
        <w:trPr/>
        <w:tc>
          <w:tcPr>
            <w:tcW w:w="7536" w:type="dxa"/>
            <w:tcBorders>
              <w:top w:val="single" w:sz="4" w:space="0" w:color="7F7F7F"/>
            </w:tcBorders>
            <w:tcMar>
              <w:left w:w="0" w:type="dxa"/>
              <w:bottom w:w="0" w:type="dxa"/>
              <w:right w:w="0" w:type="dxa"/>
            </w:tcMar>
            <w:vAlign w:val="center"/>
          </w:tcPr>
          <w:p>
            <w:pPr>
              <w:pStyle w:val="TableContents"/>
              <w:bidi w:val="0"/>
              <w:spacing w:before="14" w:after="283"/>
              <w:ind w:left="0" w:right="0" w:firstLine="20"/>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right"/>
              <w:rPr/>
            </w:pPr>
            <w:r>
              <w:rPr/>
              <w:t> </w:t>
            </w:r>
          </w:p>
        </w:tc>
      </w:tr>
      <w:tr>
        <w:trPr/>
        <w:tc>
          <w:tcPr>
            <w:tcW w:w="7536"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3G - Notification of issue, conversion or payment up of unquoted equity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 / 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898</Words>
  <Characters>4803</Characters>
  <CharactersWithSpaces>5778</CharactersWithSpaces>
  <Paragraphs>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