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36"/>
        </w:rPr>
      </w:pPr>
      <w:bookmarkStart w:id="0" w:name="nvx-6k-sept-2026-09-15-a.htm"/>
      <w:bookmarkStart w:id="1" w:name="ksnvx6ksept20260915a"/>
      <w:bookmarkEnd w:id="0"/>
      <w:bookmarkEnd w:id="1"/>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Washington, D.C. 20549</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6-K</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REPORT OF FOREIGN PRIVATE ISSUER PURSUANT TO RULE 13a-16 OR 15d-16 UNDER THE</w:t>
      </w:r>
    </w:p>
    <w:p>
      <w:pPr>
        <w:pStyle w:val="TextBody"/>
        <w:bidi w:val="0"/>
        <w:jc w:val="center"/>
        <w:rPr>
          <w:rFonts w:ascii="Times New Roman" w:hAnsi="Times New Roman"/>
          <w:b/>
          <w:color w:val="000000"/>
          <w:sz w:val="22"/>
        </w:rPr>
      </w:pPr>
      <w:r>
        <w:rPr>
          <w:rFonts w:ascii="Times New Roman" w:hAnsi="Times New Roman"/>
          <w:b/>
          <w:color w:val="000000"/>
          <w:sz w:val="22"/>
        </w:rPr>
        <w:t>SECURITIES EXCHANGE ACT OF 1934</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For the month of September, 2026</w:t>
      </w:r>
    </w:p>
    <w:p>
      <w:pPr>
        <w:pStyle w:val="TextBody"/>
        <w:bidi w:val="0"/>
        <w:jc w:val="left"/>
        <w:rPr/>
      </w:pPr>
      <w:r>
        <w:rPr/>
        <w:t> </w:t>
      </w:r>
    </w:p>
    <w:tbl>
      <w:tblPr>
        <w:tblW w:w="2648" w:type="dxa"/>
        <w:jc w:val="left"/>
        <w:tblInd w:w="0" w:type="dxa"/>
        <w:tblLayout w:type="fixed"/>
        <w:tblCellMar>
          <w:top w:w="28" w:type="dxa"/>
          <w:left w:w="28" w:type="dxa"/>
          <w:bottom w:w="28" w:type="dxa"/>
          <w:right w:w="28" w:type="dxa"/>
        </w:tblCellMar>
      </w:tblPr>
      <w:tblGrid>
        <w:gridCol w:w="161"/>
        <w:gridCol w:w="22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001-41208</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NOVONIX LIMITED</w:t>
      </w:r>
    </w:p>
    <w:p>
      <w:pPr>
        <w:pStyle w:val="TextBody"/>
        <w:bidi w:val="0"/>
        <w:jc w:val="center"/>
        <w:rPr>
          <w:rFonts w:ascii="Times New Roman" w:hAnsi="Times New Roman"/>
          <w:color w:val="000000"/>
          <w:sz w:val="20"/>
        </w:rPr>
      </w:pPr>
      <w:r>
        <w:rPr>
          <w:rFonts w:ascii="Times New Roman" w:hAnsi="Times New Roman"/>
          <w:color w:val="000000"/>
          <w:sz w:val="20"/>
        </w:rPr>
        <w:t>(Translation of registrant’s name into English)</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Level 38</w:t>
      </w:r>
    </w:p>
    <w:p>
      <w:pPr>
        <w:pStyle w:val="TextBody"/>
        <w:bidi w:val="0"/>
        <w:jc w:val="center"/>
        <w:rPr>
          <w:rFonts w:ascii="Times New Roman" w:hAnsi="Times New Roman"/>
          <w:color w:val="000000"/>
          <w:sz w:val="20"/>
        </w:rPr>
      </w:pPr>
      <w:r>
        <w:rPr>
          <w:rFonts w:ascii="Times New Roman" w:hAnsi="Times New Roman"/>
          <w:color w:val="000000"/>
          <w:sz w:val="20"/>
        </w:rPr>
        <w:t>71 Eagle Street</w:t>
      </w:r>
    </w:p>
    <w:p>
      <w:pPr>
        <w:pStyle w:val="TextBody"/>
        <w:bidi w:val="0"/>
        <w:jc w:val="center"/>
        <w:rPr>
          <w:rFonts w:ascii="Times New Roman" w:hAnsi="Times New Roman"/>
          <w:color w:val="000000"/>
          <w:sz w:val="20"/>
        </w:rPr>
      </w:pPr>
      <w:r>
        <w:rPr>
          <w:rFonts w:ascii="Times New Roman" w:hAnsi="Times New Roman"/>
          <w:color w:val="000000"/>
          <w:sz w:val="20"/>
        </w:rPr>
        <w:t>Brisbane, QLD 4000 Australia</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w:t>
        <w:noBreakHyphen/>
        <w:t>F or Form 40</w:t>
        <w:noBreakHyphen/>
        <w:t>F.</w:t>
      </w:r>
    </w:p>
    <w:p>
      <w:pPr>
        <w:pStyle w:val="TextBody"/>
        <w:bidi w:val="0"/>
        <w:jc w:val="left"/>
        <w:rPr>
          <w:rFonts w:ascii="Times New Roman" w:hAnsi="Times New Roman"/>
          <w:sz w:val="20"/>
        </w:rPr>
      </w:pPr>
      <w:r>
        <w:rPr>
          <w:rFonts w:ascii="Times New Roman" w:hAnsi="Times New Roman"/>
          <w:color w:val="000000"/>
          <w:sz w:val="20"/>
        </w:rPr>
        <w:t xml:space="preserve">Form 20-F </w:t>
      </w:r>
      <w:r>
        <w:rPr>
          <w:rFonts w:ascii="Times New Roman" w:hAnsi="Times New Roman"/>
          <w:sz w:val="20"/>
        </w:rPr>
        <w:t>☒</w:t>
      </w:r>
      <w:r>
        <w:rPr>
          <w:rFonts w:ascii="Times New Roman" w:hAnsi="Times New Roman"/>
          <w:color w:val="000000"/>
          <w:sz w:val="20"/>
        </w:rPr>
        <w:t xml:space="preserve"> Form 40-F </w:t>
      </w:r>
      <w:r>
        <w:rPr>
          <w:rFonts w:ascii="Times New Roman" w:hAnsi="Times New Roman"/>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Indicate by check mark if the registrant is submitting the Form 6-K in paper as permitted by Regulation S-T Rule 101(b)(1): </w:t>
      </w:r>
      <w:r>
        <w:rPr>
          <w:rFonts w:ascii="Times New Roman" w:hAnsi="Times New Roman"/>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Indicate by check mark if the registrant is submitting the Form 6-K in paper as permitted by Regulation S-T Rule 101(b)(7): </w:t>
      </w:r>
      <w:r>
        <w:rPr>
          <w:rFonts w:ascii="Times New Roman" w:hAnsi="Times New Roman"/>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8008" w:type="dxa"/>
        <w:jc w:val="left"/>
        <w:tblInd w:w="0" w:type="dxa"/>
        <w:tblLayout w:type="fixed"/>
        <w:tblCellMar>
          <w:top w:w="28" w:type="dxa"/>
          <w:left w:w="28" w:type="dxa"/>
          <w:bottom w:w="28" w:type="dxa"/>
          <w:right w:w="28" w:type="dxa"/>
        </w:tblCellMar>
      </w:tblPr>
      <w:tblGrid>
        <w:gridCol w:w="1141"/>
        <w:gridCol w:w="146"/>
        <w:gridCol w:w="6721"/>
      </w:tblGrid>
      <w:tr>
        <w:trPr/>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21" w:type="dxa"/>
            <w:tcBorders/>
            <w:vAlign w:val="center"/>
          </w:tcPr>
          <w:p>
            <w:pPr>
              <w:pStyle w:val="TableContents"/>
              <w:bidi w:val="0"/>
              <w:spacing w:before="0" w:after="283"/>
              <w:jc w:val="left"/>
              <w:rPr>
                <w:sz w:val="4"/>
                <w:szCs w:val="4"/>
              </w:rPr>
            </w:pPr>
            <w:r>
              <w:rPr>
                <w:sz w:val="4"/>
                <w:szCs w:val="4"/>
              </w:rPr>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pPr>
            <w:hyperlink w:anchor="nvx-ex99_1.htm">
              <w:r>
                <w:rPr>
                  <w:rStyle w:val="InternetLink"/>
                  <w:rFonts w:ascii="Times New Roman" w:hAnsi="Times New Roman"/>
                  <w:color w:val="0000FF"/>
                  <w:sz w:val="20"/>
                  <w:u w:val="single"/>
                </w:rPr>
                <w:t>Appendix 2A (Application for quotation of securities) dated September 15, 2026.</w:t>
              </w:r>
            </w:hyperlink>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2892" w:type="dxa"/>
        <w:jc w:val="left"/>
        <w:tblInd w:w="0" w:type="dxa"/>
        <w:tblLayout w:type="fixed"/>
        <w:tblCellMar>
          <w:top w:w="28" w:type="dxa"/>
          <w:left w:w="28" w:type="dxa"/>
          <w:bottom w:w="28" w:type="dxa"/>
          <w:right w:w="28" w:type="dxa"/>
        </w:tblCellMar>
      </w:tblPr>
      <w:tblGrid>
        <w:gridCol w:w="491"/>
        <w:gridCol w:w="2401"/>
      </w:tblGrid>
      <w:tr>
        <w:trPr/>
        <w:tc>
          <w:tcPr>
            <w:tcW w:w="491"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r>
      <w:tr>
        <w:trPr/>
        <w:tc>
          <w:tcPr>
            <w:tcW w:w="2892" w:type="dxa"/>
            <w:gridSpan w:val="2"/>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NOVONIX LIMITED</w:t>
            </w:r>
          </w:p>
          <w:p>
            <w:pPr>
              <w:pStyle w:val="TableContents"/>
              <w:bidi w:val="0"/>
              <w:jc w:val="left"/>
              <w:rPr/>
            </w:pPr>
            <w:r>
              <w:rPr/>
              <w:t> </w:t>
            </w:r>
          </w:p>
          <w:p>
            <w:pPr>
              <w:pStyle w:val="TableContents"/>
              <w:bidi w:val="0"/>
              <w:spacing w:before="0" w:after="283"/>
              <w:jc w:val="left"/>
              <w:rPr/>
            </w:pPr>
            <w:r>
              <w:rPr/>
              <w:t> </w:t>
            </w:r>
          </w:p>
        </w:tc>
      </w:tr>
      <w:tr>
        <w:trPr/>
        <w:tc>
          <w:tcPr>
            <w:tcW w:w="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01" w:type="dxa"/>
            <w:tcBorders>
              <w:bottom w:val="single" w:sz="4" w:space="0" w:color="000000"/>
            </w:tcBorders>
            <w:tcMar>
              <w:top w:w="0" w:type="dxa"/>
              <w:left w:w="0" w:type="dxa"/>
              <w:right w:w="0" w:type="dxa"/>
            </w:tcMar>
            <w:vAlign w:val="center"/>
          </w:tcPr>
          <w:p>
            <w:pPr>
              <w:pStyle w:val="TableContents"/>
              <w:bidi w:val="0"/>
              <w:spacing w:before="0" w:after="283"/>
              <w:ind w:left="0" w:right="0" w:firstLine="330"/>
              <w:jc w:val="left"/>
              <w:rPr>
                <w:rFonts w:ascii="Times New Roman" w:hAnsi="Times New Roman"/>
                <w:color w:val="000000"/>
                <w:sz w:val="20"/>
              </w:rPr>
            </w:pPr>
            <w:r>
              <w:rPr>
                <w:rFonts w:ascii="Times New Roman" w:hAnsi="Times New Roman"/>
                <w:color w:val="000000"/>
                <w:sz w:val="20"/>
              </w:rPr>
              <w:t>/s/ Mike O'Kronley</w:t>
            </w:r>
          </w:p>
        </w:tc>
      </w:tr>
      <w:tr>
        <w:trPr/>
        <w:tc>
          <w:tcPr>
            <w:tcW w:w="491" w:type="dxa"/>
            <w:tcBorders/>
            <w:tcMar>
              <w:top w:w="0" w:type="dxa"/>
              <w:left w:w="0" w:type="dxa"/>
              <w:bottom w:w="0" w:type="dxa"/>
              <w:right w:w="0" w:type="dxa"/>
            </w:tcMar>
            <w:vAlign w:val="center"/>
          </w:tcPr>
          <w:p>
            <w:pPr>
              <w:pStyle w:val="TableContents"/>
              <w:bidi w:val="0"/>
              <w:spacing w:before="0" w:after="283"/>
              <w:ind w:left="0" w:right="0" w:firstLine="330"/>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Mike O'Kronley</w:t>
            </w:r>
          </w:p>
        </w:tc>
      </w:tr>
      <w:tr>
        <w:trPr/>
        <w:tc>
          <w:tcPr>
            <w:tcW w:w="491" w:type="dxa"/>
            <w:tcBorders/>
            <w:tcMar>
              <w:top w:w="0" w:type="dxa"/>
              <w:left w:w="0" w:type="dxa"/>
              <w:bottom w:w="0" w:type="dxa"/>
              <w:right w:w="0" w:type="dxa"/>
            </w:tcMar>
            <w:vAlign w:val="center"/>
          </w:tcPr>
          <w:p>
            <w:pPr>
              <w:pStyle w:val="TableContents"/>
              <w:bidi w:val="0"/>
              <w:spacing w:before="0" w:after="283"/>
              <w:ind w:left="0" w:right="0" w:firstLine="330"/>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ind w:left="0" w:right="0" w:firstLine="330"/>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rFonts w:ascii="Times New Roman" w:hAnsi="Times New Roman"/>
          <w:color w:val="000000"/>
          <w:sz w:val="20"/>
        </w:rPr>
      </w:pPr>
      <w:r>
        <w:rPr>
          <w:rFonts w:ascii="Times New Roman" w:hAnsi="Times New Roman"/>
          <w:color w:val="000000"/>
          <w:sz w:val="20"/>
        </w:rPr>
        <w:t>Date: September 15,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nvx-ex99_1.htm"/>
      <w:bookmarkStart w:id="3" w:name="ksnvxex99_1"/>
      <w:bookmarkEnd w:id="2"/>
      <w:bookmarkEnd w:id="3"/>
      <w:r>
        <w:rPr/>
        <w:t> </w:t>
      </w:r>
      <w:r>
        <w:br w:type="page"/>
      </w:r>
    </w:p>
    <w:tbl>
      <w:tblPr>
        <w:tblW w:w="4897" w:type="dxa"/>
        <w:jc w:val="left"/>
        <w:tblInd w:w="0" w:type="dxa"/>
        <w:tblLayout w:type="fixed"/>
        <w:tblCellMar>
          <w:top w:w="28" w:type="dxa"/>
          <w:left w:w="28" w:type="dxa"/>
          <w:bottom w:w="28" w:type="dxa"/>
          <w:right w:w="28" w:type="dxa"/>
        </w:tblCellMar>
      </w:tblPr>
      <w:tblGrid>
        <w:gridCol w:w="526"/>
        <w:gridCol w:w="4371"/>
      </w:tblGrid>
      <w:tr>
        <w:trPr/>
        <w:tc>
          <w:tcPr>
            <w:tcW w:w="526" w:type="dxa"/>
            <w:tcBorders/>
            <w:vAlign w:val="center"/>
          </w:tcPr>
          <w:p>
            <w:pPr>
              <w:pStyle w:val="TableContents"/>
              <w:bidi w:val="0"/>
              <w:spacing w:before="0" w:after="283"/>
              <w:jc w:val="left"/>
              <w:rPr>
                <w:sz w:val="4"/>
                <w:szCs w:val="4"/>
              </w:rPr>
            </w:pPr>
            <w:r>
              <w:rPr>
                <w:sz w:val="4"/>
                <w:szCs w:val="4"/>
              </w:rPr>
            </w:r>
          </w:p>
        </w:tc>
        <w:tc>
          <w:tcPr>
            <w:tcW w:w="4371" w:type="dxa"/>
            <w:tcBorders/>
            <w:vAlign w:val="center"/>
          </w:tcPr>
          <w:p>
            <w:pPr>
              <w:pStyle w:val="TableContents"/>
              <w:bidi w:val="0"/>
              <w:spacing w:before="0" w:after="283"/>
              <w:jc w:val="left"/>
              <w:rPr>
                <w:sz w:val="4"/>
                <w:szCs w:val="4"/>
              </w:rPr>
            </w:pPr>
            <w:r>
              <w:rPr>
                <w:sz w:val="4"/>
                <w:szCs w:val="4"/>
              </w:rPr>
            </w:r>
          </w:p>
        </w:tc>
      </w:tr>
      <w:tr>
        <w:trPr/>
        <w:tc>
          <w:tcPr>
            <w:tcW w:w="526" w:type="dxa"/>
            <w:tcBorders/>
            <w:tcMar>
              <w:top w:w="0" w:type="dxa"/>
              <w:left w:w="0" w:type="dxa"/>
              <w:bottom w:w="0" w:type="dxa"/>
              <w:right w:w="0" w:type="dxa"/>
            </w:tcMar>
            <w:vAlign w:val="center"/>
          </w:tcPr>
          <w:p>
            <w:pPr>
              <w:pStyle w:val="TableContents"/>
              <w:bidi w:val="0"/>
              <w:spacing w:before="0" w:after="283"/>
              <w:ind w:left="0" w:right="0" w:firstLine="20"/>
              <w:jc w:val="left"/>
              <w:rPr/>
            </w:pPr>
            <w:r>
              <w:rPr/>
              <w:drawing>
                <wp:inline distT="0" distB="0" distL="0" distR="0">
                  <wp:extent cx="257175" cy="266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7175" cy="266700"/>
                          </a:xfrm>
                          <a:prstGeom prst="rect">
                            <a:avLst/>
                          </a:prstGeom>
                        </pic:spPr>
                      </pic:pic>
                    </a:graphicData>
                  </a:graphic>
                </wp:inline>
              </w:drawing>
            </w:r>
          </w:p>
        </w:tc>
        <w:tc>
          <w:tcPr>
            <w:tcW w:w="4371" w:type="dxa"/>
            <w:tcBorders/>
            <w:tcMar>
              <w:top w:w="0" w:type="dxa"/>
              <w:left w:w="0" w:type="dxa"/>
              <w:bottom w:w="0" w:type="dxa"/>
              <w:right w:w="0" w:type="dxa"/>
            </w:tcMar>
            <w:vAlign w:val="center"/>
          </w:tcPr>
          <w:p>
            <w:pPr>
              <w:pStyle w:val="TableContents"/>
              <w:bidi w:val="0"/>
              <w:spacing w:before="14" w:after="283"/>
              <w:ind w:left="0" w:right="0" w:firstLine="20"/>
              <w:jc w:val="left"/>
              <w:rPr>
                <w:rFonts w:ascii="Arial" w:hAnsi="Arial"/>
                <w:color w:val="000000"/>
                <w:sz w:val="18"/>
              </w:rPr>
            </w:pPr>
            <w:r>
              <w:rPr>
                <w:rFonts w:ascii="Arial" w:hAnsi="Arial"/>
                <w:color w:val="000000"/>
                <w:sz w:val="18"/>
              </w:rPr>
              <w:t>Appendix 2A - Application for quotation of securities</w:t>
            </w:r>
          </w:p>
        </w:tc>
      </w:tr>
      <w:tr>
        <w:trPr/>
        <w:tc>
          <w:tcPr>
            <w:tcW w:w="526" w:type="dxa"/>
            <w:tcBorders>
              <w:bottom w:val="single" w:sz="4" w:space="0" w:color="7F7F7F"/>
            </w:tcBorders>
            <w:tcMar>
              <w:top w:w="0" w:type="dxa"/>
              <w:left w:w="0" w:type="dxa"/>
              <w:right w:w="0" w:type="dxa"/>
            </w:tcMar>
            <w:vAlign w:val="center"/>
          </w:tcPr>
          <w:p>
            <w:pPr>
              <w:pStyle w:val="TableContents"/>
              <w:bidi w:val="0"/>
              <w:spacing w:before="0" w:after="283"/>
              <w:jc w:val="left"/>
              <w:rPr/>
            </w:pPr>
            <w:r>
              <w:rPr/>
              <w:t> </w:t>
            </w:r>
          </w:p>
        </w:tc>
        <w:tc>
          <w:tcPr>
            <w:tcW w:w="4371" w:type="dxa"/>
            <w:tcBorders>
              <w:bottom w:val="single" w:sz="4" w:space="0" w:color="7F7F7F"/>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color w:val="000000"/>
          <w:sz w:val="21"/>
        </w:rPr>
      </w:pPr>
      <w:r>
        <w:rPr>
          <w:rFonts w:ascii="Times New Roman" w:hAnsi="Times New Roman"/>
          <w:color w:val="000000"/>
          <w:sz w:val="21"/>
        </w:rPr>
        <w:t>EXHIBIT 99.1</w:t>
      </w:r>
    </w:p>
    <w:p>
      <w:pPr>
        <w:pStyle w:val="TextBody"/>
        <w:bidi w:val="0"/>
        <w:jc w:val="left"/>
        <w:rPr>
          <w:rFonts w:ascii="Arial" w:hAnsi="Arial"/>
          <w:color w:val="000000"/>
          <w:sz w:val="18"/>
        </w:rPr>
      </w:pPr>
      <w:r>
        <w:rPr>
          <w:rFonts w:ascii="Arial" w:hAnsi="Arial"/>
          <w:color w:val="000000"/>
          <w:sz w:val="18"/>
        </w:rPr>
        <w:t>Announcement Summary</w:t>
      </w:r>
    </w:p>
    <w:p>
      <w:pPr>
        <w:pStyle w:val="TextBody"/>
        <w:pBdr>
          <w:bottom w:val="single" w:sz="8" w:space="1" w:color="0C3A6C"/>
        </w:pBdr>
        <w:bidi w:val="0"/>
        <w:spacing w:before="3" w:after="283"/>
        <w:jc w:val="left"/>
        <w:rPr/>
      </w:pPr>
      <w:r>
        <w:rPr/>
        <w:t> </w:t>
      </w:r>
    </w:p>
    <w:p>
      <w:pPr>
        <w:pStyle w:val="TextBody"/>
        <w:bidi w:val="0"/>
        <w:spacing w:before="7" w:after="283"/>
        <w:jc w:val="left"/>
        <w:rPr/>
      </w:pPr>
      <w:r>
        <w:rPr/>
        <w:t> </w:t>
      </w:r>
    </w:p>
    <w:p>
      <w:pPr>
        <w:pStyle w:val="TextBody"/>
        <w:bidi w:val="0"/>
        <w:spacing w:before="1" w:after="283"/>
        <w:jc w:val="left"/>
        <w:rPr>
          <w:rFonts w:ascii="Arial" w:hAnsi="Arial"/>
          <w:b/>
          <w:color w:val="000000"/>
          <w:sz w:val="18"/>
        </w:rPr>
      </w:pPr>
      <w:r>
        <w:rPr>
          <w:rFonts w:ascii="Arial" w:hAnsi="Arial"/>
          <w:b/>
          <w:color w:val="000000"/>
          <w:sz w:val="18"/>
        </w:rPr>
        <w:t>Entity name</w:t>
      </w:r>
    </w:p>
    <w:p>
      <w:pPr>
        <w:pStyle w:val="TextBody"/>
        <w:bidi w:val="0"/>
        <w:spacing w:before="104" w:after="283"/>
        <w:jc w:val="left"/>
        <w:rPr>
          <w:rFonts w:ascii="Arial" w:hAnsi="Arial"/>
          <w:color w:val="000000"/>
          <w:sz w:val="18"/>
        </w:rPr>
      </w:pPr>
      <w:r>
        <w:rPr>
          <w:rFonts w:ascii="Arial" w:hAnsi="Arial"/>
          <w:color w:val="000000"/>
          <w:sz w:val="18"/>
        </w:rPr>
        <w:t>NOVONIX LIMITED</w:t>
      </w:r>
    </w:p>
    <w:p>
      <w:pPr>
        <w:pStyle w:val="TextBody"/>
        <w:bidi w:val="0"/>
        <w:spacing w:before="153" w:after="283"/>
        <w:jc w:val="left"/>
        <w:rPr>
          <w:rFonts w:ascii="Arial" w:hAnsi="Arial"/>
          <w:b/>
          <w:color w:val="000000"/>
          <w:sz w:val="18"/>
        </w:rPr>
      </w:pPr>
      <w:r>
        <w:rPr>
          <w:rFonts w:ascii="Arial" w:hAnsi="Arial"/>
          <w:b/>
          <w:color w:val="000000"/>
          <w:sz w:val="18"/>
        </w:rPr>
        <w:t>Announcement Type</w:t>
      </w:r>
    </w:p>
    <w:p>
      <w:pPr>
        <w:pStyle w:val="TextBody"/>
        <w:bidi w:val="0"/>
        <w:spacing w:before="106" w:after="283"/>
        <w:jc w:val="left"/>
        <w:rPr>
          <w:rFonts w:ascii="Arial" w:hAnsi="Arial"/>
          <w:color w:val="000000"/>
          <w:sz w:val="18"/>
        </w:rPr>
      </w:pPr>
      <w:r>
        <w:rPr>
          <w:rFonts w:ascii="Arial" w:hAnsi="Arial"/>
          <w:color w:val="000000"/>
          <w:sz w:val="18"/>
        </w:rPr>
        <w:t>New announcement</w:t>
      </w:r>
    </w:p>
    <w:p>
      <w:pPr>
        <w:pStyle w:val="TextBody"/>
        <w:bidi w:val="0"/>
        <w:spacing w:before="153" w:after="283"/>
        <w:jc w:val="left"/>
        <w:rPr>
          <w:rFonts w:ascii="Arial" w:hAnsi="Arial"/>
          <w:b/>
          <w:color w:val="000000"/>
          <w:sz w:val="18"/>
        </w:rPr>
      </w:pPr>
      <w:r>
        <w:rPr>
          <w:rFonts w:ascii="Arial" w:hAnsi="Arial"/>
          <w:b/>
          <w:color w:val="000000"/>
          <w:sz w:val="18"/>
        </w:rPr>
        <w:t>Date of this announcement</w:t>
      </w:r>
    </w:p>
    <w:p>
      <w:pPr>
        <w:pStyle w:val="TextBody"/>
        <w:bidi w:val="0"/>
        <w:spacing w:before="84" w:after="283"/>
        <w:jc w:val="left"/>
        <w:rPr>
          <w:rFonts w:ascii="Arial" w:hAnsi="Arial"/>
          <w:color w:val="000000"/>
          <w:sz w:val="18"/>
        </w:rPr>
      </w:pPr>
      <w:r>
        <w:rPr>
          <w:rFonts w:ascii="Arial" w:hAnsi="Arial"/>
          <w:color w:val="000000"/>
          <w:sz w:val="18"/>
        </w:rPr>
        <w:t>Tuesday September 15, 2026</w:t>
      </w:r>
    </w:p>
    <w:p>
      <w:pPr>
        <w:pStyle w:val="TextBody"/>
        <w:bidi w:val="0"/>
        <w:jc w:val="left"/>
        <w:rPr/>
      </w:pPr>
      <w:r>
        <w:rPr/>
        <w:t> </w:t>
      </w:r>
    </w:p>
    <w:p>
      <w:pPr>
        <w:pStyle w:val="TextBody"/>
        <w:bidi w:val="0"/>
        <w:spacing w:before="133" w:after="283"/>
        <w:jc w:val="left"/>
        <w:rPr>
          <w:rFonts w:ascii="Arial" w:hAnsi="Arial"/>
          <w:b/>
          <w:color w:val="000000"/>
          <w:sz w:val="18"/>
        </w:rPr>
      </w:pPr>
      <w:r>
        <w:rPr>
          <w:rFonts w:ascii="Arial" w:hAnsi="Arial"/>
          <w:b/>
          <w:color w:val="000000"/>
          <w:sz w:val="18"/>
        </w:rPr>
        <w:t>The +securities to be quoted are:</w:t>
      </w:r>
    </w:p>
    <w:p>
      <w:pPr>
        <w:pStyle w:val="TextBody"/>
        <w:bidi w:val="0"/>
        <w:jc w:val="left"/>
        <w:rPr>
          <w:rFonts w:ascii="Arial" w:hAnsi="Arial"/>
          <w:color w:val="000000"/>
          <w:sz w:val="18"/>
        </w:rPr>
      </w:pPr>
      <w:r>
        <w:rPr>
          <w:rFonts w:ascii="Arial" w:hAnsi="Arial"/>
          <w:color w:val="000000"/>
          <w:sz w:val="18"/>
        </w:rPr>
        <w:t>+Securities issued, transferred or re-classified as a result of options being exercised or other +convertible securities being converted</w:t>
      </w:r>
    </w:p>
    <w:p>
      <w:pPr>
        <w:pStyle w:val="TextBody"/>
        <w:bidi w:val="0"/>
        <w:spacing w:before="46" w:after="283"/>
        <w:jc w:val="left"/>
        <w:rPr>
          <w:rFonts w:ascii="Arial" w:hAnsi="Arial"/>
          <w:b/>
          <w:color w:val="000000"/>
          <w:sz w:val="18"/>
        </w:rPr>
      </w:pPr>
      <w:r>
        <w:rPr>
          <w:rFonts w:ascii="Arial" w:hAnsi="Arial"/>
          <w:b/>
          <w:color w:val="000000"/>
          <w:sz w:val="18"/>
        </w:rPr>
        <w:t>Total number of +securities to be quoted</w:t>
      </w:r>
    </w:p>
    <w:p>
      <w:pPr>
        <w:pStyle w:val="TextBody"/>
        <w:bidi w:val="0"/>
        <w:jc w:val="left"/>
        <w:rPr/>
      </w:pPr>
      <w:r>
        <w:rPr/>
        <w:t> </w:t>
      </w:r>
    </w:p>
    <w:tbl>
      <w:tblPr>
        <w:tblW w:w="6121" w:type="dxa"/>
        <w:jc w:val="left"/>
        <w:tblInd w:w="0" w:type="dxa"/>
        <w:tblLayout w:type="fixed"/>
        <w:tblCellMar>
          <w:top w:w="28" w:type="dxa"/>
          <w:left w:w="28" w:type="dxa"/>
          <w:bottom w:w="28" w:type="dxa"/>
          <w:right w:w="28" w:type="dxa"/>
        </w:tblCellMar>
      </w:tblPr>
      <w:tblGrid>
        <w:gridCol w:w="161"/>
        <w:gridCol w:w="1381"/>
        <w:gridCol w:w="2146"/>
        <w:gridCol w:w="146"/>
        <w:gridCol w:w="1076"/>
        <w:gridCol w:w="1211"/>
      </w:tblGrid>
      <w:tr>
        <w:trPr/>
        <w:tc>
          <w:tcPr>
            <w:tcW w:w="16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pPr>
            <w:r>
              <w:rPr/>
              <w:t> </w:t>
            </w:r>
          </w:p>
        </w:tc>
        <w:tc>
          <w:tcPr>
            <w:tcW w:w="13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433"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pPr>
            <w:r>
              <w:rPr/>
              <w:t> </w:t>
            </w:r>
          </w:p>
        </w:tc>
      </w:tr>
      <w:tr>
        <w:trPr/>
        <w:tc>
          <w:tcPr>
            <w:tcW w:w="161" w:type="dxa"/>
            <w:tcBorders>
              <w:left w:val="single" w:sz="8" w:space="0" w:color="000000"/>
            </w:tcBorders>
            <w:tcMar>
              <w:top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left"/>
              <w:rPr>
                <w:rFonts w:ascii="Arial" w:hAnsi="Arial"/>
                <w:sz w:val="18"/>
              </w:rPr>
            </w:pPr>
            <w:r>
              <w:rPr>
                <w:rFonts w:ascii="Arial" w:hAnsi="Arial"/>
                <w:b/>
                <w:color w:val="000000"/>
                <w:sz w:val="18"/>
              </w:rPr>
              <w:t>ASX +security</w:t>
            </w:r>
            <w:r>
              <w:rPr>
                <w:rFonts w:ascii="Arial" w:hAnsi="Arial"/>
                <w:color w:val="000000"/>
                <w:sz w:val="18"/>
              </w:rPr>
              <w:t xml:space="preserve"> </w:t>
            </w:r>
          </w:p>
        </w:tc>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3"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Number of +securities to</w:t>
            </w:r>
          </w:p>
        </w:tc>
      </w:tr>
      <w:tr>
        <w:trPr/>
        <w:tc>
          <w:tcPr>
            <w:tcW w:w="161" w:type="dxa"/>
            <w:tcBorders>
              <w:left w:val="single" w:sz="8" w:space="0" w:color="000000"/>
            </w:tcBorders>
            <w:tcMar>
              <w:top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code</w:t>
            </w:r>
          </w:p>
        </w:tc>
        <w:tc>
          <w:tcPr>
            <w:tcW w:w="214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Security description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tcMar>
              <w:top w:w="0" w:type="dxa"/>
              <w:left w:w="0" w:type="dxa"/>
              <w:bottom w:w="0" w:type="dxa"/>
              <w:right w:w="0" w:type="dxa"/>
            </w:tcMar>
            <w:vAlign w:val="center"/>
          </w:tcPr>
          <w:p>
            <w:pPr>
              <w:pStyle w:val="TableContents"/>
              <w:bidi w:val="0"/>
              <w:spacing w:before="0" w:after="283"/>
              <w:ind w:left="0" w:right="0" w:firstLine="130"/>
              <w:jc w:val="right"/>
              <w:rPr>
                <w:rFonts w:ascii="Arial" w:hAnsi="Arial"/>
                <w:b/>
                <w:color w:val="000000"/>
                <w:sz w:val="18"/>
              </w:rPr>
            </w:pPr>
            <w:r>
              <w:rPr>
                <w:rFonts w:ascii="Arial" w:hAnsi="Arial"/>
                <w:b/>
                <w:color w:val="000000"/>
                <w:sz w:val="18"/>
              </w:rPr>
              <w:t>be quoted</w:t>
            </w:r>
          </w:p>
        </w:tc>
        <w:tc>
          <w:tcPr>
            <w:tcW w:w="1211" w:type="dxa"/>
            <w:tcBorders>
              <w:right w:val="single" w:sz="8" w:space="0" w:color="000000"/>
            </w:tcBorders>
            <w:tcMar>
              <w:top w:w="0" w:type="dxa"/>
              <w:left w:w="0" w:type="dxa"/>
              <w:bottom w:w="0" w:type="dxa"/>
            </w:tcMar>
            <w:vAlign w:val="center"/>
          </w:tcPr>
          <w:p>
            <w:pPr>
              <w:pStyle w:val="TableContents"/>
              <w:bidi w:val="0"/>
              <w:spacing w:before="0" w:after="283"/>
              <w:ind w:left="0" w:right="0" w:firstLine="130"/>
              <w:jc w:val="left"/>
              <w:rPr>
                <w:rFonts w:ascii="Arial" w:hAnsi="Arial"/>
                <w:b/>
                <w:color w:val="000000"/>
                <w:sz w:val="18"/>
              </w:rPr>
            </w:pPr>
            <w:r>
              <w:rPr>
                <w:rFonts w:ascii="Arial" w:hAnsi="Arial"/>
                <w:b/>
                <w:color w:val="000000"/>
                <w:sz w:val="18"/>
              </w:rPr>
              <w:t>Issue date</w:t>
            </w:r>
          </w:p>
        </w:tc>
      </w:tr>
      <w:tr>
        <w:trPr/>
        <w:tc>
          <w:tcPr>
            <w:tcW w:w="161" w:type="dxa"/>
            <w:tcBorders>
              <w:left w:val="single" w:sz="8" w:space="0" w:color="000000"/>
            </w:tcBorders>
            <w:tcMar>
              <w:top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tcMar>
              <w:top w:w="0" w:type="dxa"/>
              <w:left w:w="0" w:type="dxa"/>
              <w:bottom w:w="0" w:type="dxa"/>
              <w:right w:w="0" w:type="dxa"/>
            </w:tcMar>
            <w:vAlign w:val="center"/>
          </w:tcPr>
          <w:p>
            <w:pPr>
              <w:pStyle w:val="TableContents"/>
              <w:bidi w:val="0"/>
              <w:spacing w:before="0" w:after="283"/>
              <w:ind w:left="0" w:right="0" w:firstLine="130"/>
              <w:jc w:val="right"/>
              <w:rPr/>
            </w:pPr>
            <w:r>
              <w:rPr/>
              <w:t> </w:t>
            </w:r>
          </w:p>
        </w:tc>
        <w:tc>
          <w:tcPr>
            <w:tcW w:w="1211" w:type="dxa"/>
            <w:tcBorders>
              <w:right w:val="single" w:sz="8" w:space="0" w:color="000000"/>
            </w:tcBorders>
            <w:tcMar>
              <w:top w:w="0" w:type="dxa"/>
              <w:left w:w="0" w:type="dxa"/>
              <w:bottom w:w="0" w:type="dxa"/>
            </w:tcMar>
            <w:vAlign w:val="center"/>
          </w:tcPr>
          <w:p>
            <w:pPr>
              <w:pStyle w:val="TableContents"/>
              <w:bidi w:val="0"/>
              <w:spacing w:before="0" w:after="283"/>
              <w:ind w:left="0" w:right="0" w:firstLine="130"/>
              <w:jc w:val="left"/>
              <w:rPr/>
            </w:pPr>
            <w:r>
              <w:rPr/>
              <w:t> </w:t>
            </w:r>
          </w:p>
        </w:tc>
      </w:tr>
      <w:tr>
        <w:trPr/>
        <w:tc>
          <w:tcPr>
            <w:tcW w:w="161" w:type="dxa"/>
            <w:tcBorders>
              <w:left w:val="single" w:sz="8" w:space="0" w:color="000000"/>
            </w:tcBorders>
            <w:tcMar>
              <w:top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NVX</w:t>
            </w:r>
          </w:p>
        </w:tc>
        <w:tc>
          <w:tcPr>
            <w:tcW w:w="214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ORDINARY FULLY PAID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tcMar>
              <w:top w:w="0" w:type="dxa"/>
              <w:left w:w="0" w:type="dxa"/>
              <w:bottom w:w="0" w:type="dxa"/>
              <w:right w:w="0" w:type="dxa"/>
            </w:tcMar>
            <w:vAlign w:val="center"/>
          </w:tcPr>
          <w:p>
            <w:pPr>
              <w:pStyle w:val="TableContents"/>
              <w:bidi w:val="0"/>
              <w:spacing w:before="0" w:after="283"/>
              <w:ind w:left="0" w:right="0" w:firstLine="130"/>
              <w:jc w:val="right"/>
              <w:rPr>
                <w:rFonts w:ascii="Arial" w:hAnsi="Arial"/>
                <w:color w:val="000000"/>
                <w:sz w:val="18"/>
              </w:rPr>
            </w:pPr>
            <w:r>
              <w:rPr>
                <w:rFonts w:ascii="Arial" w:hAnsi="Arial"/>
                <w:color w:val="000000"/>
                <w:sz w:val="18"/>
              </w:rPr>
              <w:t>68,107</w:t>
            </w:r>
          </w:p>
        </w:tc>
        <w:tc>
          <w:tcPr>
            <w:tcW w:w="1211" w:type="dxa"/>
            <w:tcBorders>
              <w:right w:val="single" w:sz="8" w:space="0" w:color="000000"/>
            </w:tcBorders>
            <w:tcMar>
              <w:top w:w="0" w:type="dxa"/>
              <w:left w:w="0" w:type="dxa"/>
              <w:bottom w:w="0" w:type="dxa"/>
            </w:tcMar>
            <w:vAlign w:val="center"/>
          </w:tcPr>
          <w:p>
            <w:pPr>
              <w:pStyle w:val="TableContents"/>
              <w:bidi w:val="0"/>
              <w:spacing w:before="0" w:after="283"/>
              <w:ind w:left="0" w:right="0" w:firstLine="130"/>
              <w:jc w:val="left"/>
              <w:rPr>
                <w:rFonts w:ascii="Arial" w:hAnsi="Arial"/>
                <w:color w:val="000000"/>
                <w:sz w:val="18"/>
              </w:rPr>
            </w:pPr>
            <w:r>
              <w:rPr>
                <w:rFonts w:ascii="Arial" w:hAnsi="Arial"/>
                <w:color w:val="000000"/>
                <w:sz w:val="18"/>
              </w:rPr>
              <w:t>15/09/2026</w:t>
            </w:r>
          </w:p>
        </w:tc>
      </w:tr>
      <w:tr>
        <w:trPr/>
        <w:tc>
          <w:tcPr>
            <w:tcW w:w="161" w:type="dxa"/>
            <w:tcBorders>
              <w:left w:val="single" w:sz="8" w:space="0" w:color="000000"/>
            </w:tcBorders>
            <w:tcMar>
              <w:top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tcMar>
              <w:top w:w="0" w:type="dxa"/>
              <w:left w:w="0" w:type="dxa"/>
              <w:bottom w:w="0" w:type="dxa"/>
              <w:right w:w="0" w:type="dxa"/>
            </w:tcMar>
            <w:vAlign w:val="center"/>
          </w:tcPr>
          <w:p>
            <w:pPr>
              <w:pStyle w:val="TableContents"/>
              <w:bidi w:val="0"/>
              <w:spacing w:before="0" w:after="283"/>
              <w:ind w:left="0" w:right="0" w:firstLine="130"/>
              <w:jc w:val="right"/>
              <w:rPr/>
            </w:pPr>
            <w:r>
              <w:rPr/>
              <w:t> </w:t>
            </w:r>
          </w:p>
        </w:tc>
        <w:tc>
          <w:tcPr>
            <w:tcW w:w="1211" w:type="dxa"/>
            <w:tcBorders>
              <w:right w:val="single" w:sz="8" w:space="0" w:color="000000"/>
            </w:tcBorders>
            <w:tcMar>
              <w:top w:w="0" w:type="dxa"/>
              <w:left w:w="0" w:type="dxa"/>
              <w:bottom w:w="0" w:type="dxa"/>
            </w:tcMar>
            <w:vAlign w:val="center"/>
          </w:tcPr>
          <w:p>
            <w:pPr>
              <w:pStyle w:val="TableContents"/>
              <w:bidi w:val="0"/>
              <w:spacing w:before="0" w:after="283"/>
              <w:ind w:left="0" w:right="0" w:firstLine="130"/>
              <w:jc w:val="left"/>
              <w:rPr/>
            </w:pPr>
            <w:r>
              <w:rPr/>
              <w:t> </w:t>
            </w:r>
          </w:p>
        </w:tc>
      </w:tr>
      <w:tr>
        <w:trPr/>
        <w:tc>
          <w:tcPr>
            <w:tcW w:w="16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pPr>
            <w:r>
              <w:rPr/>
              <w:t> </w:t>
            </w:r>
          </w:p>
        </w:tc>
        <w:tc>
          <w:tcPr>
            <w:tcW w:w="13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8" w:space="0" w:color="000000"/>
            </w:tcBorders>
            <w:tcMar>
              <w:top w:w="0" w:type="dxa"/>
              <w:left w:w="0" w:type="dxa"/>
              <w:right w:w="0" w:type="dxa"/>
            </w:tcMar>
            <w:vAlign w:val="center"/>
          </w:tcPr>
          <w:p>
            <w:pPr>
              <w:pStyle w:val="TableContents"/>
              <w:bidi w:val="0"/>
              <w:spacing w:before="0" w:after="283"/>
              <w:ind w:left="0" w:right="0" w:firstLine="130"/>
              <w:jc w:val="right"/>
              <w:rPr/>
            </w:pPr>
            <w:r>
              <w:rPr/>
              <w:t> </w:t>
            </w:r>
          </w:p>
        </w:tc>
        <w:tc>
          <w:tcPr>
            <w:tcW w:w="1211"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130"/>
              <w:jc w:val="left"/>
              <w:rPr/>
            </w:pPr>
            <w:r>
              <w:rPr/>
              <w:t> </w:t>
            </w:r>
          </w:p>
        </w:tc>
      </w:tr>
    </w:tbl>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Refer to next page for full details of the announcement</w:t>
      </w:r>
    </w:p>
    <w:p>
      <w:pPr>
        <w:pStyle w:val="TextBody"/>
        <w:bidi w:val="0"/>
        <w:jc w:val="left"/>
        <w:rPr/>
      </w:pPr>
      <w:r>
        <w:rPr/>
        <w:t> </w:t>
      </w:r>
    </w:p>
    <w:p>
      <w:pPr>
        <w:pStyle w:val="TextBody"/>
        <w:bidi w:val="0"/>
        <w:jc w:val="left"/>
        <w:rPr/>
      </w:pPr>
      <w:r>
        <w:rPr/>
        <w:t> </w:t>
      </w:r>
    </w:p>
    <w:tbl>
      <w:tblPr>
        <w:tblW w:w="4807" w:type="dxa"/>
        <w:jc w:val="left"/>
        <w:tblInd w:w="0" w:type="dxa"/>
        <w:tblLayout w:type="fixed"/>
        <w:tblCellMar>
          <w:top w:w="28" w:type="dxa"/>
          <w:left w:w="28" w:type="dxa"/>
          <w:bottom w:w="28" w:type="dxa"/>
          <w:right w:w="28" w:type="dxa"/>
        </w:tblCellMar>
      </w:tblPr>
      <w:tblGrid>
        <w:gridCol w:w="4341"/>
        <w:gridCol w:w="466"/>
      </w:tblGrid>
      <w:tr>
        <w:trPr/>
        <w:tc>
          <w:tcPr>
            <w:tcW w:w="434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4341" w:type="dxa"/>
            <w:tcBorders>
              <w:top w:val="single" w:sz="4" w:space="0" w:color="7F7F7F"/>
            </w:tcBorders>
            <w:tcMar>
              <w:left w:w="0" w:type="dxa"/>
              <w:bottom w:w="0" w:type="dxa"/>
              <w:right w:w="0" w:type="dxa"/>
            </w:tcMar>
            <w:vAlign w:val="center"/>
          </w:tcPr>
          <w:p>
            <w:pPr>
              <w:pStyle w:val="TableContents"/>
              <w:bidi w:val="0"/>
              <w:spacing w:before="0" w:after="283"/>
              <w:jc w:val="left"/>
              <w:rPr/>
            </w:pPr>
            <w:r>
              <w:rPr/>
              <w:t> </w:t>
            </w:r>
          </w:p>
        </w:tc>
        <w:tc>
          <w:tcPr>
            <w:tcW w:w="466" w:type="dxa"/>
            <w:tcBorders>
              <w:top w:val="single" w:sz="4" w:space="0" w:color="7F7F7F"/>
            </w:tcBorders>
            <w:tcMar>
              <w:left w:w="0" w:type="dxa"/>
              <w:bottom w:w="0" w:type="dxa"/>
              <w:right w:w="0" w:type="dxa"/>
            </w:tcMar>
            <w:vAlign w:val="center"/>
          </w:tcPr>
          <w:p>
            <w:pPr>
              <w:pStyle w:val="TableContents"/>
              <w:bidi w:val="0"/>
              <w:spacing w:before="0" w:after="283"/>
              <w:ind w:left="0" w:right="0" w:firstLine="20"/>
              <w:jc w:val="left"/>
              <w:rPr/>
            </w:pPr>
            <w:r>
              <w:rPr/>
              <w:t> </w:t>
            </w:r>
          </w:p>
        </w:tc>
      </w:tr>
      <w:tr>
        <w:trPr/>
        <w:tc>
          <w:tcPr>
            <w:tcW w:w="4341" w:type="dxa"/>
            <w:tcBorders/>
            <w:tcMar>
              <w:top w:w="0" w:type="dxa"/>
              <w:left w:w="0" w:type="dxa"/>
              <w:bottom w:w="0" w:type="dxa"/>
              <w:right w:w="0" w:type="dxa"/>
            </w:tcMar>
            <w:vAlign w:val="center"/>
          </w:tcPr>
          <w:p>
            <w:pPr>
              <w:pStyle w:val="TableContents"/>
              <w:bidi w:val="0"/>
              <w:spacing w:before="0" w:after="283"/>
              <w:ind w:left="0" w:right="0" w:firstLine="20"/>
              <w:jc w:val="left"/>
              <w:rPr>
                <w:rFonts w:ascii="Arial" w:hAnsi="Arial"/>
                <w:color w:val="000000"/>
                <w:sz w:val="18"/>
              </w:rPr>
            </w:pPr>
            <w:r>
              <w:rPr>
                <w:rFonts w:ascii="Arial" w:hAnsi="Arial"/>
                <w:color w:val="000000"/>
                <w:sz w:val="18"/>
              </w:rPr>
              <w:t>Appendix 2A - Application for quotation of securities</w:t>
            </w:r>
          </w:p>
        </w:tc>
        <w:tc>
          <w:tcPr>
            <w:tcW w:w="4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 / 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897" w:type="dxa"/>
        <w:jc w:val="left"/>
        <w:tblInd w:w="0" w:type="dxa"/>
        <w:tblLayout w:type="fixed"/>
        <w:tblCellMar>
          <w:top w:w="28" w:type="dxa"/>
          <w:left w:w="28" w:type="dxa"/>
          <w:bottom w:w="28" w:type="dxa"/>
          <w:right w:w="28" w:type="dxa"/>
        </w:tblCellMar>
      </w:tblPr>
      <w:tblGrid>
        <w:gridCol w:w="526"/>
        <w:gridCol w:w="4371"/>
      </w:tblGrid>
      <w:tr>
        <w:trPr/>
        <w:tc>
          <w:tcPr>
            <w:tcW w:w="526" w:type="dxa"/>
            <w:tcBorders/>
            <w:vAlign w:val="center"/>
          </w:tcPr>
          <w:p>
            <w:pPr>
              <w:pStyle w:val="TableContents"/>
              <w:bidi w:val="0"/>
              <w:spacing w:before="0" w:after="283"/>
              <w:jc w:val="left"/>
              <w:rPr>
                <w:sz w:val="4"/>
                <w:szCs w:val="4"/>
              </w:rPr>
            </w:pPr>
            <w:r>
              <w:rPr>
                <w:sz w:val="4"/>
                <w:szCs w:val="4"/>
              </w:rPr>
            </w:r>
          </w:p>
        </w:tc>
        <w:tc>
          <w:tcPr>
            <w:tcW w:w="4371" w:type="dxa"/>
            <w:tcBorders/>
            <w:vAlign w:val="center"/>
          </w:tcPr>
          <w:p>
            <w:pPr>
              <w:pStyle w:val="TableContents"/>
              <w:bidi w:val="0"/>
              <w:spacing w:before="0" w:after="283"/>
              <w:jc w:val="left"/>
              <w:rPr>
                <w:sz w:val="4"/>
                <w:szCs w:val="4"/>
              </w:rPr>
            </w:pPr>
            <w:r>
              <w:rPr>
                <w:sz w:val="4"/>
                <w:szCs w:val="4"/>
              </w:rPr>
            </w:r>
          </w:p>
        </w:tc>
      </w:tr>
      <w:tr>
        <w:trPr/>
        <w:tc>
          <w:tcPr>
            <w:tcW w:w="526" w:type="dxa"/>
            <w:tcBorders/>
            <w:tcMar>
              <w:top w:w="0" w:type="dxa"/>
              <w:left w:w="0" w:type="dxa"/>
              <w:bottom w:w="0" w:type="dxa"/>
              <w:right w:w="0" w:type="dxa"/>
            </w:tcMar>
            <w:vAlign w:val="center"/>
          </w:tcPr>
          <w:p>
            <w:pPr>
              <w:pStyle w:val="TableContents"/>
              <w:bidi w:val="0"/>
              <w:spacing w:before="0" w:after="283"/>
              <w:ind w:left="0" w:right="0" w:firstLine="20"/>
              <w:jc w:val="left"/>
              <w:rPr/>
            </w:pPr>
            <w:r>
              <w:rPr/>
              <w:drawing>
                <wp:inline distT="0" distB="0" distL="0" distR="0">
                  <wp:extent cx="257175" cy="266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57175" cy="266700"/>
                          </a:xfrm>
                          <a:prstGeom prst="rect">
                            <a:avLst/>
                          </a:prstGeom>
                        </pic:spPr>
                      </pic:pic>
                    </a:graphicData>
                  </a:graphic>
                </wp:inline>
              </w:drawing>
            </w:r>
          </w:p>
        </w:tc>
        <w:tc>
          <w:tcPr>
            <w:tcW w:w="4371" w:type="dxa"/>
            <w:tcBorders/>
            <w:tcMar>
              <w:top w:w="0" w:type="dxa"/>
              <w:left w:w="0" w:type="dxa"/>
              <w:bottom w:w="0" w:type="dxa"/>
              <w:right w:w="0" w:type="dxa"/>
            </w:tcMar>
            <w:vAlign w:val="center"/>
          </w:tcPr>
          <w:p>
            <w:pPr>
              <w:pStyle w:val="TableContents"/>
              <w:bidi w:val="0"/>
              <w:spacing w:before="14" w:after="283"/>
              <w:ind w:left="0" w:right="0" w:firstLine="20"/>
              <w:jc w:val="left"/>
              <w:rPr>
                <w:rFonts w:ascii="Arial" w:hAnsi="Arial"/>
                <w:color w:val="000000"/>
                <w:sz w:val="18"/>
              </w:rPr>
            </w:pPr>
            <w:r>
              <w:rPr>
                <w:rFonts w:ascii="Arial" w:hAnsi="Arial"/>
                <w:color w:val="000000"/>
                <w:sz w:val="18"/>
              </w:rPr>
              <w:t>Appendix 2A - Application for quotation of securities</w:t>
            </w:r>
          </w:p>
        </w:tc>
      </w:tr>
      <w:tr>
        <w:trPr/>
        <w:tc>
          <w:tcPr>
            <w:tcW w:w="526" w:type="dxa"/>
            <w:tcBorders>
              <w:bottom w:val="single" w:sz="4" w:space="0" w:color="7F7F7F"/>
            </w:tcBorders>
            <w:tcMar>
              <w:top w:w="0" w:type="dxa"/>
              <w:left w:w="0" w:type="dxa"/>
              <w:right w:w="0" w:type="dxa"/>
            </w:tcMar>
            <w:vAlign w:val="center"/>
          </w:tcPr>
          <w:p>
            <w:pPr>
              <w:pStyle w:val="TableContents"/>
              <w:bidi w:val="0"/>
              <w:spacing w:before="0" w:after="283"/>
              <w:jc w:val="left"/>
              <w:rPr/>
            </w:pPr>
            <w:r>
              <w:rPr/>
              <w:t> </w:t>
            </w:r>
          </w:p>
        </w:tc>
        <w:tc>
          <w:tcPr>
            <w:tcW w:w="4371" w:type="dxa"/>
            <w:tcBorders>
              <w:bottom w:val="single" w:sz="4" w:space="0" w:color="7F7F7F"/>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6" w:after="283"/>
        <w:jc w:val="left"/>
        <w:rPr/>
      </w:pPr>
      <w:r>
        <w:rPr/>
        <w:t> </w:t>
      </w:r>
    </w:p>
    <w:p>
      <w:pPr>
        <w:pStyle w:val="TextBody"/>
        <w:bidi w:val="0"/>
        <w:spacing w:before="94" w:after="283"/>
        <w:jc w:val="left"/>
        <w:rPr>
          <w:rFonts w:ascii="Arial" w:hAnsi="Arial"/>
          <w:color w:val="000000"/>
          <w:sz w:val="18"/>
        </w:rPr>
      </w:pPr>
      <w:r>
        <w:rPr>
          <w:rFonts w:ascii="Arial" w:hAnsi="Arial"/>
          <w:color w:val="000000"/>
          <w:sz w:val="18"/>
        </w:rPr>
        <w:t>Part 1 - Entity and announcement details</w:t>
      </w:r>
    </w:p>
    <w:p>
      <w:pPr>
        <w:pStyle w:val="TextBody"/>
        <w:pBdr>
          <w:bottom w:val="single" w:sz="8" w:space="1" w:color="0C3A6C"/>
        </w:pBdr>
        <w:bidi w:val="0"/>
        <w:spacing w:before="4" w:after="283"/>
        <w:jc w:val="left"/>
        <w:rPr/>
      </w:pPr>
      <w:r>
        <w:rPr/>
        <w:t> </w:t>
      </w:r>
    </w:p>
    <w:p>
      <w:pPr>
        <w:pStyle w:val="TextBody"/>
        <w:bidi w:val="0"/>
        <w:jc w:val="left"/>
        <w:rPr/>
      </w:pPr>
      <w:r>
        <w:rPr/>
        <w:t> </w:t>
      </w:r>
    </w:p>
    <w:p>
      <w:pPr>
        <w:pStyle w:val="TextBody"/>
        <w:bidi w:val="0"/>
        <w:jc w:val="left"/>
        <w:rPr/>
      </w:pPr>
      <w:r>
        <w:rPr/>
        <w:t> </w:t>
      </w:r>
    </w:p>
    <w:p>
      <w:pPr>
        <w:pStyle w:val="TextBody"/>
        <w:bidi w:val="0"/>
        <w:spacing w:before="133" w:after="283"/>
        <w:jc w:val="left"/>
        <w:rPr>
          <w:rFonts w:ascii="Arial" w:hAnsi="Arial"/>
          <w:b/>
          <w:color w:val="000000"/>
          <w:sz w:val="18"/>
        </w:rPr>
      </w:pPr>
      <w:r>
        <w:rPr>
          <w:rFonts w:ascii="Arial" w:hAnsi="Arial"/>
          <w:b/>
          <w:color w:val="000000"/>
          <w:sz w:val="18"/>
        </w:rPr>
        <w:t>1.1 Name of entity</w:t>
      </w:r>
    </w:p>
    <w:p>
      <w:pPr>
        <w:pStyle w:val="TextBody"/>
        <w:bidi w:val="0"/>
        <w:spacing w:before="105" w:after="283"/>
        <w:jc w:val="left"/>
        <w:rPr>
          <w:rFonts w:ascii="Arial" w:hAnsi="Arial"/>
          <w:color w:val="000000"/>
          <w:sz w:val="18"/>
        </w:rPr>
      </w:pPr>
      <w:r>
        <w:rPr>
          <w:rFonts w:ascii="Arial" w:hAnsi="Arial"/>
          <w:color w:val="000000"/>
          <w:sz w:val="18"/>
        </w:rPr>
        <w:t>NOVONIX LIMITED</w:t>
      </w:r>
    </w:p>
    <w:p>
      <w:pPr>
        <w:pStyle w:val="TextBody"/>
        <w:bidi w:val="0"/>
        <w:spacing w:before="150" w:after="283"/>
        <w:jc w:val="left"/>
        <w:rPr>
          <w:rFonts w:ascii="Arial" w:hAnsi="Arial"/>
          <w:color w:val="000000"/>
          <w:sz w:val="18"/>
        </w:rPr>
      </w:pPr>
      <w:r>
        <w:rPr>
          <w:rFonts w:ascii="Arial" w:hAnsi="Arial"/>
          <w:color w:val="000000"/>
          <w:sz w:val="18"/>
        </w:rPr>
        <w:t>We (the entity named above) apply for +quotation of the following +securities and agree to the matters set out in Appendix 2A of the ASX Listing Rules.</w:t>
      </w:r>
    </w:p>
    <w:p>
      <w:pPr>
        <w:pStyle w:val="TextBody"/>
        <w:bidi w:val="0"/>
        <w:jc w:val="left"/>
        <w:rPr/>
      </w:pPr>
      <w:r>
        <w:rPr/>
        <w:t> </w:t>
      </w:r>
    </w:p>
    <w:tbl>
      <w:tblPr>
        <w:tblW w:w="4543" w:type="dxa"/>
        <w:jc w:val="left"/>
        <w:tblInd w:w="0" w:type="dxa"/>
        <w:tblLayout w:type="fixed"/>
        <w:tblCellMar>
          <w:top w:w="28" w:type="dxa"/>
          <w:left w:w="28" w:type="dxa"/>
          <w:bottom w:w="28" w:type="dxa"/>
          <w:right w:w="28" w:type="dxa"/>
        </w:tblCellMar>
      </w:tblPr>
      <w:tblGrid>
        <w:gridCol w:w="161"/>
        <w:gridCol w:w="2476"/>
        <w:gridCol w:w="1906"/>
      </w:tblGrid>
      <w:tr>
        <w:trPr/>
        <w:tc>
          <w:tcPr>
            <w:tcW w:w="16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1.2 Registered number type</w:t>
            </w:r>
          </w:p>
        </w:tc>
        <w:tc>
          <w:tcPr>
            <w:tcW w:w="190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Registration number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ABN</w:t>
            </w:r>
          </w:p>
        </w:tc>
        <w:tc>
          <w:tcPr>
            <w:tcW w:w="19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54157690830</w:t>
            </w:r>
          </w:p>
        </w:tc>
      </w:tr>
    </w:tbl>
    <w:p>
      <w:pPr>
        <w:pStyle w:val="TextBody"/>
        <w:bidi w:val="0"/>
        <w:jc w:val="left"/>
        <w:rPr/>
      </w:pPr>
      <w:r>
        <w:rPr/>
        <w:t> </w:t>
      </w:r>
    </w:p>
    <w:p>
      <w:pPr>
        <w:pStyle w:val="TextBody"/>
        <w:bidi w:val="0"/>
        <w:jc w:val="left"/>
        <w:rPr/>
      </w:pPr>
      <w:r>
        <w:rPr/>
        <w:t> </w:t>
      </w:r>
    </w:p>
    <w:p>
      <w:pPr>
        <w:pStyle w:val="TextBody"/>
        <w:bidi w:val="0"/>
        <w:spacing w:before="94" w:after="283"/>
        <w:jc w:val="left"/>
        <w:rPr>
          <w:rFonts w:ascii="Arial" w:hAnsi="Arial"/>
          <w:b/>
          <w:color w:val="000000"/>
          <w:sz w:val="18"/>
        </w:rPr>
      </w:pPr>
      <w:r>
        <w:rPr>
          <w:rFonts w:ascii="Arial" w:hAnsi="Arial"/>
          <w:b/>
          <w:color w:val="000000"/>
          <w:sz w:val="18"/>
        </w:rPr>
        <w:t>1.3 ASX issuer code</w:t>
      </w:r>
    </w:p>
    <w:p>
      <w:pPr>
        <w:pStyle w:val="TextBody"/>
        <w:bidi w:val="0"/>
        <w:spacing w:before="105" w:after="283"/>
        <w:jc w:val="left"/>
        <w:rPr>
          <w:rFonts w:ascii="Arial" w:hAnsi="Arial"/>
          <w:color w:val="000000"/>
          <w:sz w:val="18"/>
        </w:rPr>
      </w:pPr>
      <w:r>
        <w:rPr>
          <w:rFonts w:ascii="Arial" w:hAnsi="Arial"/>
          <w:color w:val="000000"/>
          <w:sz w:val="18"/>
        </w:rPr>
        <w:t>NVX</w:t>
      </w:r>
    </w:p>
    <w:p>
      <w:pPr>
        <w:pStyle w:val="TextBody"/>
        <w:bidi w:val="0"/>
        <w:spacing w:before="1" w:after="283"/>
        <w:jc w:val="left"/>
        <w:rPr/>
      </w:pPr>
      <w:r>
        <w:rPr/>
        <w:t> </w:t>
      </w:r>
    </w:p>
    <w:p>
      <w:pPr>
        <w:pStyle w:val="TextBody"/>
        <w:bidi w:val="0"/>
        <w:jc w:val="left"/>
        <w:rPr>
          <w:rFonts w:ascii="Arial" w:hAnsi="Arial"/>
          <w:b/>
          <w:color w:val="000000"/>
          <w:sz w:val="18"/>
        </w:rPr>
      </w:pPr>
      <w:r>
        <w:rPr>
          <w:rFonts w:ascii="Arial" w:hAnsi="Arial"/>
          <w:b/>
          <w:color w:val="000000"/>
          <w:sz w:val="18"/>
        </w:rPr>
        <w:t>1.4 The announcement is</w:t>
      </w:r>
    </w:p>
    <w:p>
      <w:pPr>
        <w:pStyle w:val="TextBody"/>
        <w:bidi w:val="0"/>
        <w:jc w:val="left"/>
        <w:rPr>
          <w:rFonts w:ascii="Arial" w:hAnsi="Arial"/>
          <w:color w:val="000000"/>
          <w:sz w:val="18"/>
        </w:rPr>
      </w:pPr>
      <w:r>
        <w:rPr>
          <w:rFonts w:ascii="Arial" w:hAnsi="Arial"/>
          <w:color w:val="000000"/>
          <w:sz w:val="18"/>
        </w:rPr>
        <w:t>New announcement</w:t>
      </w:r>
    </w:p>
    <w:p>
      <w:pPr>
        <w:pStyle w:val="TextBody"/>
        <w:bidi w:val="0"/>
        <w:spacing w:before="48" w:after="283"/>
        <w:jc w:val="left"/>
        <w:rPr>
          <w:rFonts w:ascii="Arial" w:hAnsi="Arial"/>
          <w:b/>
          <w:color w:val="000000"/>
          <w:sz w:val="18"/>
        </w:rPr>
      </w:pPr>
      <w:r>
        <w:rPr>
          <w:rFonts w:ascii="Arial" w:hAnsi="Arial"/>
          <w:b/>
          <w:color w:val="000000"/>
          <w:sz w:val="18"/>
        </w:rPr>
        <w:t>1.5 Date of this announcement</w:t>
      </w:r>
    </w:p>
    <w:p>
      <w:pPr>
        <w:pStyle w:val="TextBody"/>
        <w:bidi w:val="0"/>
        <w:spacing w:before="105" w:after="283"/>
        <w:jc w:val="left"/>
        <w:rPr>
          <w:rFonts w:ascii="Arial" w:hAnsi="Arial"/>
          <w:color w:val="000000"/>
          <w:sz w:val="18"/>
        </w:rPr>
      </w:pPr>
      <w:r>
        <w:rPr>
          <w:rFonts w:ascii="Arial" w:hAnsi="Arial"/>
          <w:color w:val="000000"/>
          <w:sz w:val="18"/>
        </w:rPr>
        <w:t>15/9/2026</w:t>
      </w:r>
    </w:p>
    <w:p>
      <w:pPr>
        <w:pStyle w:val="TextBody"/>
        <w:bidi w:val="0"/>
        <w:jc w:val="left"/>
        <w:rPr/>
      </w:pPr>
      <w:r>
        <w:rPr/>
        <w:t> </w:t>
      </w:r>
    </w:p>
    <w:p>
      <w:pPr>
        <w:pStyle w:val="TextBody"/>
        <w:bidi w:val="0"/>
        <w:jc w:val="left"/>
        <w:rPr/>
      </w:pPr>
      <w:r>
        <w:rPr/>
        <w:t> </w:t>
      </w:r>
    </w:p>
    <w:tbl>
      <w:tblPr>
        <w:tblW w:w="4807" w:type="dxa"/>
        <w:jc w:val="left"/>
        <w:tblInd w:w="0" w:type="dxa"/>
        <w:tblLayout w:type="fixed"/>
        <w:tblCellMar>
          <w:top w:w="28" w:type="dxa"/>
          <w:left w:w="28" w:type="dxa"/>
          <w:bottom w:w="28" w:type="dxa"/>
          <w:right w:w="28" w:type="dxa"/>
        </w:tblCellMar>
      </w:tblPr>
      <w:tblGrid>
        <w:gridCol w:w="4341"/>
        <w:gridCol w:w="466"/>
      </w:tblGrid>
      <w:tr>
        <w:trPr/>
        <w:tc>
          <w:tcPr>
            <w:tcW w:w="434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4341" w:type="dxa"/>
            <w:tcBorders>
              <w:top w:val="single" w:sz="4" w:space="0" w:color="7F7F7F"/>
            </w:tcBorders>
            <w:tcMar>
              <w:left w:w="0" w:type="dxa"/>
              <w:bottom w:w="0" w:type="dxa"/>
              <w:right w:w="0" w:type="dxa"/>
            </w:tcMar>
            <w:vAlign w:val="center"/>
          </w:tcPr>
          <w:p>
            <w:pPr>
              <w:pStyle w:val="TableContents"/>
              <w:bidi w:val="0"/>
              <w:spacing w:before="0" w:after="283"/>
              <w:jc w:val="left"/>
              <w:rPr/>
            </w:pPr>
            <w:r>
              <w:rPr/>
              <w:t> </w:t>
            </w:r>
          </w:p>
        </w:tc>
        <w:tc>
          <w:tcPr>
            <w:tcW w:w="466" w:type="dxa"/>
            <w:tcBorders>
              <w:top w:val="single" w:sz="4" w:space="0" w:color="7F7F7F"/>
            </w:tcBorders>
            <w:tcMar>
              <w:left w:w="0" w:type="dxa"/>
              <w:bottom w:w="0" w:type="dxa"/>
              <w:right w:w="0" w:type="dxa"/>
            </w:tcMar>
            <w:vAlign w:val="center"/>
          </w:tcPr>
          <w:p>
            <w:pPr>
              <w:pStyle w:val="TableContents"/>
              <w:bidi w:val="0"/>
              <w:spacing w:before="0" w:after="283"/>
              <w:ind w:left="0" w:right="0" w:firstLine="20"/>
              <w:jc w:val="left"/>
              <w:rPr/>
            </w:pPr>
            <w:r>
              <w:rPr/>
              <w:t> </w:t>
            </w:r>
          </w:p>
        </w:tc>
      </w:tr>
      <w:tr>
        <w:trPr/>
        <w:tc>
          <w:tcPr>
            <w:tcW w:w="4341" w:type="dxa"/>
            <w:tcBorders/>
            <w:tcMar>
              <w:top w:w="0" w:type="dxa"/>
              <w:left w:w="0" w:type="dxa"/>
              <w:bottom w:w="0" w:type="dxa"/>
              <w:right w:w="0" w:type="dxa"/>
            </w:tcMar>
            <w:vAlign w:val="center"/>
          </w:tcPr>
          <w:p>
            <w:pPr>
              <w:pStyle w:val="TableContents"/>
              <w:bidi w:val="0"/>
              <w:spacing w:before="0" w:after="283"/>
              <w:ind w:left="0" w:right="0" w:firstLine="20"/>
              <w:jc w:val="left"/>
              <w:rPr>
                <w:rFonts w:ascii="Arial" w:hAnsi="Arial"/>
                <w:color w:val="000000"/>
                <w:sz w:val="18"/>
              </w:rPr>
            </w:pPr>
            <w:r>
              <w:rPr>
                <w:rFonts w:ascii="Arial" w:hAnsi="Arial"/>
                <w:color w:val="000000"/>
                <w:sz w:val="18"/>
              </w:rPr>
              <w:t>Appendix 2A - Application for quotation of securities</w:t>
            </w:r>
          </w:p>
        </w:tc>
        <w:tc>
          <w:tcPr>
            <w:tcW w:w="4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 / 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897" w:type="dxa"/>
        <w:jc w:val="left"/>
        <w:tblInd w:w="0" w:type="dxa"/>
        <w:tblLayout w:type="fixed"/>
        <w:tblCellMar>
          <w:top w:w="28" w:type="dxa"/>
          <w:left w:w="28" w:type="dxa"/>
          <w:bottom w:w="28" w:type="dxa"/>
          <w:right w:w="28" w:type="dxa"/>
        </w:tblCellMar>
      </w:tblPr>
      <w:tblGrid>
        <w:gridCol w:w="526"/>
        <w:gridCol w:w="4371"/>
      </w:tblGrid>
      <w:tr>
        <w:trPr/>
        <w:tc>
          <w:tcPr>
            <w:tcW w:w="526" w:type="dxa"/>
            <w:tcBorders/>
            <w:vAlign w:val="center"/>
          </w:tcPr>
          <w:p>
            <w:pPr>
              <w:pStyle w:val="TableContents"/>
              <w:bidi w:val="0"/>
              <w:spacing w:before="0" w:after="283"/>
              <w:jc w:val="left"/>
              <w:rPr>
                <w:sz w:val="4"/>
                <w:szCs w:val="4"/>
              </w:rPr>
            </w:pPr>
            <w:r>
              <w:rPr>
                <w:sz w:val="4"/>
                <w:szCs w:val="4"/>
              </w:rPr>
            </w:r>
          </w:p>
        </w:tc>
        <w:tc>
          <w:tcPr>
            <w:tcW w:w="4371" w:type="dxa"/>
            <w:tcBorders/>
            <w:vAlign w:val="center"/>
          </w:tcPr>
          <w:p>
            <w:pPr>
              <w:pStyle w:val="TableContents"/>
              <w:bidi w:val="0"/>
              <w:spacing w:before="0" w:after="283"/>
              <w:jc w:val="left"/>
              <w:rPr>
                <w:sz w:val="4"/>
                <w:szCs w:val="4"/>
              </w:rPr>
            </w:pPr>
            <w:r>
              <w:rPr>
                <w:sz w:val="4"/>
                <w:szCs w:val="4"/>
              </w:rPr>
            </w:r>
          </w:p>
        </w:tc>
      </w:tr>
      <w:tr>
        <w:trPr/>
        <w:tc>
          <w:tcPr>
            <w:tcW w:w="526" w:type="dxa"/>
            <w:tcBorders/>
            <w:tcMar>
              <w:top w:w="0" w:type="dxa"/>
              <w:left w:w="0" w:type="dxa"/>
              <w:bottom w:w="0" w:type="dxa"/>
              <w:right w:w="0" w:type="dxa"/>
            </w:tcMar>
            <w:vAlign w:val="center"/>
          </w:tcPr>
          <w:p>
            <w:pPr>
              <w:pStyle w:val="TableContents"/>
              <w:bidi w:val="0"/>
              <w:spacing w:before="0" w:after="283"/>
              <w:ind w:left="0" w:right="0" w:firstLine="20"/>
              <w:jc w:val="left"/>
              <w:rPr/>
            </w:pPr>
            <w:r>
              <w:rPr/>
              <w:drawing>
                <wp:inline distT="0" distB="0" distL="0" distR="0">
                  <wp:extent cx="257175" cy="266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57175" cy="266700"/>
                          </a:xfrm>
                          <a:prstGeom prst="rect">
                            <a:avLst/>
                          </a:prstGeom>
                        </pic:spPr>
                      </pic:pic>
                    </a:graphicData>
                  </a:graphic>
                </wp:inline>
              </w:drawing>
            </w:r>
          </w:p>
        </w:tc>
        <w:tc>
          <w:tcPr>
            <w:tcW w:w="4371" w:type="dxa"/>
            <w:tcBorders/>
            <w:tcMar>
              <w:top w:w="0" w:type="dxa"/>
              <w:left w:w="0" w:type="dxa"/>
              <w:bottom w:w="0" w:type="dxa"/>
              <w:right w:w="0" w:type="dxa"/>
            </w:tcMar>
            <w:vAlign w:val="center"/>
          </w:tcPr>
          <w:p>
            <w:pPr>
              <w:pStyle w:val="TableContents"/>
              <w:bidi w:val="0"/>
              <w:spacing w:before="14" w:after="283"/>
              <w:ind w:left="0" w:right="0" w:firstLine="20"/>
              <w:jc w:val="left"/>
              <w:rPr>
                <w:rFonts w:ascii="Arial" w:hAnsi="Arial"/>
                <w:color w:val="000000"/>
                <w:sz w:val="18"/>
              </w:rPr>
            </w:pPr>
            <w:r>
              <w:rPr>
                <w:rFonts w:ascii="Arial" w:hAnsi="Arial"/>
                <w:color w:val="000000"/>
                <w:sz w:val="18"/>
              </w:rPr>
              <w:t>Appendix 2A - Application for quotation of securities</w:t>
            </w:r>
          </w:p>
        </w:tc>
      </w:tr>
      <w:tr>
        <w:trPr/>
        <w:tc>
          <w:tcPr>
            <w:tcW w:w="526" w:type="dxa"/>
            <w:tcBorders>
              <w:bottom w:val="single" w:sz="4" w:space="0" w:color="7F7F7F"/>
            </w:tcBorders>
            <w:tcMar>
              <w:top w:w="0" w:type="dxa"/>
              <w:left w:w="0" w:type="dxa"/>
              <w:right w:w="0" w:type="dxa"/>
            </w:tcMar>
            <w:vAlign w:val="center"/>
          </w:tcPr>
          <w:p>
            <w:pPr>
              <w:pStyle w:val="TableContents"/>
              <w:bidi w:val="0"/>
              <w:spacing w:before="0" w:after="283"/>
              <w:jc w:val="left"/>
              <w:rPr/>
            </w:pPr>
            <w:r>
              <w:rPr/>
              <w:t> </w:t>
            </w:r>
          </w:p>
        </w:tc>
        <w:tc>
          <w:tcPr>
            <w:tcW w:w="4371" w:type="dxa"/>
            <w:tcBorders>
              <w:bottom w:val="single" w:sz="4" w:space="0" w:color="7F7F7F"/>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6" w:after="283"/>
        <w:jc w:val="left"/>
        <w:rPr/>
      </w:pPr>
      <w:r>
        <w:rPr/>
        <w:t> </w:t>
      </w:r>
    </w:p>
    <w:p>
      <w:pPr>
        <w:pStyle w:val="TextBody"/>
        <w:bidi w:val="0"/>
        <w:spacing w:before="94" w:after="283"/>
        <w:jc w:val="left"/>
        <w:rPr>
          <w:rFonts w:ascii="Arial" w:hAnsi="Arial"/>
          <w:color w:val="000000"/>
          <w:sz w:val="18"/>
        </w:rPr>
      </w:pPr>
      <w:r>
        <w:rPr>
          <w:rFonts w:ascii="Arial" w:hAnsi="Arial"/>
          <w:color w:val="000000"/>
          <w:sz w:val="18"/>
        </w:rPr>
        <w:t>Part 2 - Type of Issue</w:t>
      </w:r>
    </w:p>
    <w:p>
      <w:pPr>
        <w:pStyle w:val="TextBody"/>
        <w:pBdr>
          <w:bottom w:val="single" w:sz="8" w:space="1" w:color="0C3A6C"/>
        </w:pBdr>
        <w:bidi w:val="0"/>
        <w:spacing w:before="4" w:after="283"/>
        <w:jc w:val="left"/>
        <w:rPr/>
      </w:pPr>
      <w:r>
        <w:rPr/>
        <w:t> </w:t>
      </w:r>
    </w:p>
    <w:p>
      <w:pPr>
        <w:pStyle w:val="TextBody"/>
        <w:bidi w:val="0"/>
        <w:spacing w:before="7" w:after="283"/>
        <w:jc w:val="left"/>
        <w:rPr/>
      </w:pPr>
      <w:r>
        <w:rPr/>
        <w:t> </w:t>
      </w:r>
    </w:p>
    <w:p>
      <w:pPr>
        <w:pStyle w:val="TextBody"/>
        <w:bidi w:val="0"/>
        <w:jc w:val="left"/>
        <w:rPr>
          <w:rFonts w:ascii="Arial" w:hAnsi="Arial"/>
          <w:b/>
          <w:color w:val="000000"/>
          <w:sz w:val="18"/>
        </w:rPr>
      </w:pPr>
      <w:r>
        <w:rPr>
          <w:rFonts w:ascii="Arial" w:hAnsi="Arial"/>
          <w:b/>
          <w:color w:val="000000"/>
          <w:sz w:val="18"/>
        </w:rPr>
        <w:t>2.1 The +securities to be quoted are:</w:t>
      </w:r>
    </w:p>
    <w:p>
      <w:pPr>
        <w:pStyle w:val="TextBody"/>
        <w:bidi w:val="0"/>
        <w:jc w:val="left"/>
        <w:rPr>
          <w:rFonts w:ascii="Arial" w:hAnsi="Arial"/>
          <w:color w:val="000000"/>
          <w:sz w:val="18"/>
        </w:rPr>
      </w:pPr>
      <w:r>
        <w:rPr>
          <w:rFonts w:ascii="Arial" w:hAnsi="Arial"/>
          <w:color w:val="000000"/>
          <w:sz w:val="18"/>
        </w:rPr>
        <w:t>+Securities issued, transferred or re-classified as a result of options being exercised or other +convertible securities being converted</w:t>
      </w:r>
    </w:p>
    <w:p>
      <w:pPr>
        <w:pStyle w:val="TextBody"/>
        <w:bidi w:val="0"/>
        <w:spacing w:before="10" w:after="283"/>
        <w:jc w:val="left"/>
        <w:rPr/>
      </w:pPr>
      <w:r>
        <w:rPr/>
        <w:t> </w:t>
      </w:r>
    </w:p>
    <w:p>
      <w:pPr>
        <w:pStyle w:val="TextBody"/>
        <w:bidi w:val="0"/>
        <w:jc w:val="left"/>
        <w:rPr>
          <w:rFonts w:ascii="Arial" w:hAnsi="Arial"/>
          <w:b/>
          <w:color w:val="000000"/>
          <w:sz w:val="18"/>
        </w:rPr>
      </w:pPr>
      <w:r>
        <w:rPr>
          <w:rFonts w:ascii="Arial" w:hAnsi="Arial"/>
          <w:b/>
          <w:color w:val="000000"/>
          <w:sz w:val="18"/>
        </w:rPr>
        <w:t>2.2 The +class of +securities to be quoted is:</w:t>
      </w:r>
    </w:p>
    <w:p>
      <w:pPr>
        <w:pStyle w:val="TextBody"/>
        <w:bidi w:val="0"/>
        <w:jc w:val="left"/>
        <w:rPr>
          <w:rFonts w:ascii="Arial" w:hAnsi="Arial"/>
          <w:color w:val="000000"/>
          <w:sz w:val="18"/>
        </w:rPr>
      </w:pPr>
      <w:r>
        <w:rPr>
          <w:rFonts w:ascii="Arial" w:hAnsi="Arial"/>
          <w:color w:val="000000"/>
          <w:sz w:val="18"/>
        </w:rPr>
        <w:t>Additional +securities in a class that is already quoted on ASX ("existing class")</w:t>
      </w:r>
    </w:p>
    <w:p>
      <w:pPr>
        <w:pStyle w:val="TextBody"/>
        <w:bidi w:val="0"/>
        <w:jc w:val="left"/>
        <w:rPr/>
      </w:pPr>
      <w:r>
        <w:rPr/>
        <w:t> </w:t>
      </w:r>
    </w:p>
    <w:p>
      <w:pPr>
        <w:pStyle w:val="TextBody"/>
        <w:bidi w:val="0"/>
        <w:jc w:val="left"/>
        <w:rPr/>
      </w:pPr>
      <w:r>
        <w:rPr/>
        <w:t> </w:t>
      </w:r>
    </w:p>
    <w:tbl>
      <w:tblPr>
        <w:tblW w:w="4807" w:type="dxa"/>
        <w:jc w:val="left"/>
        <w:tblInd w:w="0" w:type="dxa"/>
        <w:tblLayout w:type="fixed"/>
        <w:tblCellMar>
          <w:top w:w="28" w:type="dxa"/>
          <w:left w:w="28" w:type="dxa"/>
          <w:bottom w:w="28" w:type="dxa"/>
          <w:right w:w="28" w:type="dxa"/>
        </w:tblCellMar>
      </w:tblPr>
      <w:tblGrid>
        <w:gridCol w:w="4341"/>
        <w:gridCol w:w="466"/>
      </w:tblGrid>
      <w:tr>
        <w:trPr/>
        <w:tc>
          <w:tcPr>
            <w:tcW w:w="434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4341" w:type="dxa"/>
            <w:tcBorders>
              <w:top w:val="single" w:sz="4" w:space="0" w:color="7F7F7F"/>
            </w:tcBorders>
            <w:tcMar>
              <w:left w:w="0" w:type="dxa"/>
              <w:bottom w:w="0" w:type="dxa"/>
              <w:right w:w="0" w:type="dxa"/>
            </w:tcMar>
            <w:vAlign w:val="center"/>
          </w:tcPr>
          <w:p>
            <w:pPr>
              <w:pStyle w:val="TableContents"/>
              <w:bidi w:val="0"/>
              <w:spacing w:before="0" w:after="283"/>
              <w:jc w:val="left"/>
              <w:rPr/>
            </w:pPr>
            <w:r>
              <w:rPr/>
              <w:t> </w:t>
            </w:r>
          </w:p>
        </w:tc>
        <w:tc>
          <w:tcPr>
            <w:tcW w:w="466" w:type="dxa"/>
            <w:tcBorders>
              <w:top w:val="single" w:sz="4" w:space="0" w:color="7F7F7F"/>
            </w:tcBorders>
            <w:tcMar>
              <w:left w:w="0" w:type="dxa"/>
              <w:bottom w:w="0" w:type="dxa"/>
              <w:right w:w="0" w:type="dxa"/>
            </w:tcMar>
            <w:vAlign w:val="center"/>
          </w:tcPr>
          <w:p>
            <w:pPr>
              <w:pStyle w:val="TableContents"/>
              <w:bidi w:val="0"/>
              <w:spacing w:before="0" w:after="283"/>
              <w:ind w:left="0" w:right="0" w:firstLine="20"/>
              <w:jc w:val="left"/>
              <w:rPr/>
            </w:pPr>
            <w:r>
              <w:rPr/>
              <w:t> </w:t>
            </w:r>
          </w:p>
        </w:tc>
      </w:tr>
      <w:tr>
        <w:trPr/>
        <w:tc>
          <w:tcPr>
            <w:tcW w:w="4341" w:type="dxa"/>
            <w:tcBorders/>
            <w:tcMar>
              <w:top w:w="0" w:type="dxa"/>
              <w:left w:w="0" w:type="dxa"/>
              <w:bottom w:w="0" w:type="dxa"/>
              <w:right w:w="0" w:type="dxa"/>
            </w:tcMar>
            <w:vAlign w:val="center"/>
          </w:tcPr>
          <w:p>
            <w:pPr>
              <w:pStyle w:val="TableContents"/>
              <w:bidi w:val="0"/>
              <w:spacing w:before="0" w:after="283"/>
              <w:ind w:left="0" w:right="0" w:firstLine="20"/>
              <w:jc w:val="left"/>
              <w:rPr>
                <w:rFonts w:ascii="Arial" w:hAnsi="Arial"/>
                <w:color w:val="000000"/>
                <w:sz w:val="18"/>
              </w:rPr>
            </w:pPr>
            <w:r>
              <w:rPr>
                <w:rFonts w:ascii="Arial" w:hAnsi="Arial"/>
                <w:color w:val="000000"/>
                <w:sz w:val="18"/>
              </w:rPr>
              <w:t>Appendix 2A - Application for quotation of securities</w:t>
            </w:r>
          </w:p>
        </w:tc>
        <w:tc>
          <w:tcPr>
            <w:tcW w:w="4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 / 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897" w:type="dxa"/>
        <w:jc w:val="left"/>
        <w:tblInd w:w="0" w:type="dxa"/>
        <w:tblLayout w:type="fixed"/>
        <w:tblCellMar>
          <w:top w:w="28" w:type="dxa"/>
          <w:left w:w="28" w:type="dxa"/>
          <w:bottom w:w="28" w:type="dxa"/>
          <w:right w:w="28" w:type="dxa"/>
        </w:tblCellMar>
      </w:tblPr>
      <w:tblGrid>
        <w:gridCol w:w="526"/>
        <w:gridCol w:w="4371"/>
      </w:tblGrid>
      <w:tr>
        <w:trPr/>
        <w:tc>
          <w:tcPr>
            <w:tcW w:w="526" w:type="dxa"/>
            <w:tcBorders/>
            <w:vAlign w:val="center"/>
          </w:tcPr>
          <w:p>
            <w:pPr>
              <w:pStyle w:val="TableContents"/>
              <w:bidi w:val="0"/>
              <w:spacing w:before="0" w:after="283"/>
              <w:jc w:val="left"/>
              <w:rPr>
                <w:sz w:val="4"/>
                <w:szCs w:val="4"/>
              </w:rPr>
            </w:pPr>
            <w:r>
              <w:rPr>
                <w:sz w:val="4"/>
                <w:szCs w:val="4"/>
              </w:rPr>
            </w:r>
          </w:p>
        </w:tc>
        <w:tc>
          <w:tcPr>
            <w:tcW w:w="4371" w:type="dxa"/>
            <w:tcBorders/>
            <w:vAlign w:val="center"/>
          </w:tcPr>
          <w:p>
            <w:pPr>
              <w:pStyle w:val="TableContents"/>
              <w:bidi w:val="0"/>
              <w:spacing w:before="0" w:after="283"/>
              <w:jc w:val="left"/>
              <w:rPr>
                <w:sz w:val="4"/>
                <w:szCs w:val="4"/>
              </w:rPr>
            </w:pPr>
            <w:r>
              <w:rPr>
                <w:sz w:val="4"/>
                <w:szCs w:val="4"/>
              </w:rPr>
            </w:r>
          </w:p>
        </w:tc>
      </w:tr>
      <w:tr>
        <w:trPr/>
        <w:tc>
          <w:tcPr>
            <w:tcW w:w="526" w:type="dxa"/>
            <w:tcBorders/>
            <w:tcMar>
              <w:top w:w="0" w:type="dxa"/>
              <w:left w:w="0" w:type="dxa"/>
              <w:bottom w:w="0" w:type="dxa"/>
              <w:right w:w="0" w:type="dxa"/>
            </w:tcMar>
            <w:vAlign w:val="center"/>
          </w:tcPr>
          <w:p>
            <w:pPr>
              <w:pStyle w:val="TableContents"/>
              <w:bidi w:val="0"/>
              <w:spacing w:before="0" w:after="283"/>
              <w:ind w:left="0" w:right="0" w:firstLine="20"/>
              <w:jc w:val="left"/>
              <w:rPr/>
            </w:pPr>
            <w:r>
              <w:rPr/>
              <w:drawing>
                <wp:inline distT="0" distB="0" distL="0" distR="0">
                  <wp:extent cx="257175" cy="2667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57175" cy="266700"/>
                          </a:xfrm>
                          <a:prstGeom prst="rect">
                            <a:avLst/>
                          </a:prstGeom>
                        </pic:spPr>
                      </pic:pic>
                    </a:graphicData>
                  </a:graphic>
                </wp:inline>
              </w:drawing>
            </w:r>
          </w:p>
        </w:tc>
        <w:tc>
          <w:tcPr>
            <w:tcW w:w="4371" w:type="dxa"/>
            <w:tcBorders/>
            <w:tcMar>
              <w:top w:w="0" w:type="dxa"/>
              <w:left w:w="0" w:type="dxa"/>
              <w:bottom w:w="0" w:type="dxa"/>
              <w:right w:w="0" w:type="dxa"/>
            </w:tcMar>
            <w:vAlign w:val="center"/>
          </w:tcPr>
          <w:p>
            <w:pPr>
              <w:pStyle w:val="TableContents"/>
              <w:bidi w:val="0"/>
              <w:spacing w:before="14" w:after="283"/>
              <w:ind w:left="0" w:right="0" w:firstLine="20"/>
              <w:jc w:val="left"/>
              <w:rPr>
                <w:rFonts w:ascii="Arial" w:hAnsi="Arial"/>
                <w:color w:val="000000"/>
                <w:sz w:val="18"/>
              </w:rPr>
            </w:pPr>
            <w:r>
              <w:rPr>
                <w:rFonts w:ascii="Arial" w:hAnsi="Arial"/>
                <w:color w:val="000000"/>
                <w:sz w:val="18"/>
              </w:rPr>
              <w:t>Appendix 2A - Application for quotation of securities</w:t>
            </w:r>
          </w:p>
        </w:tc>
      </w:tr>
      <w:tr>
        <w:trPr/>
        <w:tc>
          <w:tcPr>
            <w:tcW w:w="526" w:type="dxa"/>
            <w:tcBorders>
              <w:bottom w:val="single" w:sz="4" w:space="0" w:color="7F7F7F"/>
            </w:tcBorders>
            <w:tcMar>
              <w:top w:w="0" w:type="dxa"/>
              <w:left w:w="0" w:type="dxa"/>
              <w:right w:w="0" w:type="dxa"/>
            </w:tcMar>
            <w:vAlign w:val="center"/>
          </w:tcPr>
          <w:p>
            <w:pPr>
              <w:pStyle w:val="TableContents"/>
              <w:bidi w:val="0"/>
              <w:spacing w:before="0" w:after="283"/>
              <w:jc w:val="left"/>
              <w:rPr/>
            </w:pPr>
            <w:r>
              <w:rPr/>
              <w:t> </w:t>
            </w:r>
          </w:p>
        </w:tc>
        <w:tc>
          <w:tcPr>
            <w:tcW w:w="4371" w:type="dxa"/>
            <w:tcBorders>
              <w:bottom w:val="single" w:sz="4" w:space="0" w:color="7F7F7F"/>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6" w:after="283"/>
        <w:jc w:val="left"/>
        <w:rPr/>
      </w:pPr>
      <w:r>
        <w:rPr/>
        <w:t> </w:t>
      </w:r>
    </w:p>
    <w:p>
      <w:pPr>
        <w:pStyle w:val="TextBody"/>
        <w:bidi w:val="0"/>
        <w:spacing w:before="94" w:after="283"/>
        <w:jc w:val="left"/>
        <w:rPr>
          <w:rFonts w:ascii="Arial" w:hAnsi="Arial"/>
          <w:color w:val="000000"/>
          <w:sz w:val="18"/>
        </w:rPr>
      </w:pPr>
      <w:r>
        <w:rPr>
          <w:rFonts w:ascii="Arial" w:hAnsi="Arial"/>
          <w:color w:val="000000"/>
          <w:sz w:val="18"/>
        </w:rPr>
        <w:t>Part 3B - number and type of +securities to be quoted (existing class) where issue has not previously been notified to ASX in an Appendix 3B</w:t>
      </w:r>
    </w:p>
    <w:p>
      <w:pPr>
        <w:pStyle w:val="TextBody"/>
        <w:pBdr>
          <w:top w:val="single" w:sz="8" w:space="1" w:color="0C3A6C"/>
        </w:pBdr>
        <w:bidi w:val="0"/>
        <w:spacing w:before="6" w:after="283"/>
        <w:jc w:val="left"/>
        <w:rPr/>
      </w:pPr>
      <w:r>
        <w:rPr/>
        <w:t> </w:t>
      </w:r>
    </w:p>
    <w:p>
      <w:pPr>
        <w:pStyle w:val="TextBody"/>
        <w:bidi w:val="0"/>
        <w:jc w:val="left"/>
        <w:rPr>
          <w:rFonts w:ascii="Arial" w:hAnsi="Arial"/>
          <w:b/>
          <w:color w:val="000000"/>
          <w:sz w:val="18"/>
        </w:rPr>
      </w:pPr>
      <w:r>
        <w:rPr>
          <w:rFonts w:ascii="Arial" w:hAnsi="Arial"/>
          <w:b/>
          <w:color w:val="000000"/>
          <w:sz w:val="18"/>
        </w:rPr>
        <w:t>Existing +securities converting into additional +securities in an existing class FROM (Existing Class)</w:t>
      </w:r>
    </w:p>
    <w:p>
      <w:pPr>
        <w:pStyle w:val="TextBody"/>
        <w:bidi w:val="0"/>
        <w:spacing w:before="7" w:after="283"/>
        <w:jc w:val="left"/>
        <w:rPr>
          <w:rFonts w:ascii="Arial" w:hAnsi="Arial"/>
          <w:b/>
          <w:color w:val="000000"/>
          <w:sz w:val="18"/>
        </w:rPr>
      </w:pPr>
      <w:r>
        <w:rPr>
          <w:rFonts w:ascii="Arial" w:hAnsi="Arial"/>
          <w:b/>
          <w:color w:val="000000"/>
          <w:sz w:val="18"/>
        </w:rPr>
        <w:t>ASX +security code and description</w:t>
      </w:r>
    </w:p>
    <w:p>
      <w:pPr>
        <w:pStyle w:val="TextBody"/>
        <w:bidi w:val="0"/>
        <w:spacing w:before="105" w:after="283"/>
        <w:jc w:val="left"/>
        <w:rPr>
          <w:rFonts w:ascii="Arial" w:hAnsi="Arial"/>
          <w:color w:val="000000"/>
          <w:sz w:val="18"/>
        </w:rPr>
      </w:pPr>
      <w:r>
        <w:rPr>
          <w:rFonts w:ascii="Arial" w:hAnsi="Arial"/>
          <w:color w:val="000000"/>
          <w:sz w:val="18"/>
        </w:rPr>
        <w:t>NVX:AD : PERFORMANCE RIGHTS</w:t>
      </w:r>
    </w:p>
    <w:p>
      <w:pPr>
        <w:pStyle w:val="TextBody"/>
        <w:bidi w:val="0"/>
        <w:jc w:val="left"/>
        <w:rPr/>
      </w:pPr>
      <w:r>
        <w:rPr/>
        <w:t> </w:t>
      </w:r>
    </w:p>
    <w:p>
      <w:pPr>
        <w:pStyle w:val="TextBody"/>
        <w:bidi w:val="0"/>
        <w:spacing w:before="10" w:after="283"/>
        <w:jc w:val="left"/>
        <w:rPr/>
      </w:pPr>
      <w:r>
        <w:rPr/>
        <w:t> </w:t>
      </w:r>
    </w:p>
    <w:p>
      <w:pPr>
        <w:pStyle w:val="TextBody"/>
        <w:bidi w:val="0"/>
        <w:jc w:val="left"/>
        <w:rPr>
          <w:rFonts w:ascii="Arial" w:hAnsi="Arial"/>
          <w:b/>
          <w:color w:val="000000"/>
          <w:sz w:val="18"/>
        </w:rPr>
      </w:pPr>
      <w:r>
        <w:rPr>
          <w:rFonts w:ascii="Arial" w:hAnsi="Arial"/>
          <w:b/>
          <w:color w:val="000000"/>
          <w:sz w:val="18"/>
        </w:rPr>
        <w:t>TO (Existing Class)</w:t>
      </w:r>
    </w:p>
    <w:p>
      <w:pPr>
        <w:pStyle w:val="TextBody"/>
        <w:bidi w:val="0"/>
        <w:spacing w:before="3" w:after="283"/>
        <w:jc w:val="left"/>
        <w:rPr>
          <w:rFonts w:ascii="Arial" w:hAnsi="Arial"/>
          <w:b/>
          <w:color w:val="000000"/>
          <w:sz w:val="18"/>
        </w:rPr>
      </w:pPr>
      <w:r>
        <w:rPr>
          <w:rFonts w:ascii="Arial" w:hAnsi="Arial"/>
          <w:b/>
          <w:color w:val="000000"/>
          <w:sz w:val="18"/>
        </w:rPr>
        <w:t>ASX +security code and description</w:t>
      </w:r>
    </w:p>
    <w:p>
      <w:pPr>
        <w:pStyle w:val="TextBody"/>
        <w:bidi w:val="0"/>
        <w:spacing w:before="105" w:after="283"/>
        <w:jc w:val="left"/>
        <w:rPr>
          <w:rFonts w:ascii="Arial" w:hAnsi="Arial"/>
          <w:color w:val="000000"/>
          <w:sz w:val="18"/>
        </w:rPr>
      </w:pPr>
      <w:r>
        <w:rPr>
          <w:rFonts w:ascii="Arial" w:hAnsi="Arial"/>
          <w:color w:val="000000"/>
          <w:sz w:val="18"/>
        </w:rPr>
        <w:t>NVX : ORDINARY FULLY PAID</w:t>
      </w:r>
    </w:p>
    <w:p>
      <w:pPr>
        <w:pStyle w:val="TextBody"/>
        <w:bidi w:val="0"/>
        <w:spacing w:before="10" w:after="283"/>
        <w:jc w:val="left"/>
        <w:rPr/>
      </w:pPr>
      <w:r>
        <w:rPr/>
        <w:t> </w:t>
      </w:r>
    </w:p>
    <w:tbl>
      <w:tblPr>
        <w:tblW w:w="8718" w:type="dxa"/>
        <w:jc w:val="left"/>
        <w:tblInd w:w="0" w:type="dxa"/>
        <w:tblLayout w:type="fixed"/>
        <w:tblCellMar>
          <w:top w:w="28" w:type="dxa"/>
          <w:left w:w="28" w:type="dxa"/>
          <w:bottom w:w="28" w:type="dxa"/>
          <w:right w:w="28" w:type="dxa"/>
        </w:tblCellMar>
      </w:tblPr>
      <w:tblGrid>
        <w:gridCol w:w="3091"/>
        <w:gridCol w:w="2791"/>
        <w:gridCol w:w="2836"/>
      </w:tblGrid>
      <w:tr>
        <w:trPr/>
        <w:tc>
          <w:tcPr>
            <w:tcW w:w="30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r>
      <w:tr>
        <w:trPr/>
        <w:tc>
          <w:tcPr>
            <w:tcW w:w="3091" w:type="dxa"/>
            <w:tcBorders/>
            <w:tcMar>
              <w:top w:w="0" w:type="dxa"/>
              <w:left w:w="0" w:type="dxa"/>
              <w:bottom w:w="0" w:type="dxa"/>
              <w:right w:w="0" w:type="dxa"/>
            </w:tcMar>
            <w:vAlign w:val="center"/>
          </w:tcPr>
          <w:p>
            <w:pPr>
              <w:pStyle w:val="TableContents"/>
              <w:bidi w:val="0"/>
              <w:spacing w:before="94" w:after="283"/>
              <w:jc w:val="left"/>
              <w:rPr>
                <w:rFonts w:ascii="Arial" w:hAnsi="Arial"/>
                <w:b/>
                <w:color w:val="000000"/>
                <w:sz w:val="18"/>
              </w:rPr>
            </w:pPr>
            <w:r>
              <w:rPr>
                <w:rFonts w:ascii="Arial" w:hAnsi="Arial"/>
                <w:b/>
                <w:color w:val="000000"/>
                <w:sz w:val="18"/>
              </w:rPr>
              <w:t>Please state the number of options</w:t>
              <w:br/>
              <w:t>that were exercised or other</w:t>
            </w:r>
          </w:p>
          <w:p>
            <w:pPr>
              <w:pStyle w:val="TableContents"/>
              <w:bidi w:val="0"/>
              <w:spacing w:before="2" w:after="283"/>
              <w:jc w:val="left"/>
              <w:rPr>
                <w:rFonts w:ascii="Arial" w:hAnsi="Arial"/>
                <w:b/>
                <w:color w:val="000000"/>
                <w:sz w:val="18"/>
              </w:rPr>
            </w:pPr>
            <w:r>
              <w:rPr>
                <w:rFonts w:ascii="Arial" w:hAnsi="Arial"/>
                <w:b/>
                <w:color w:val="000000"/>
                <w:sz w:val="18"/>
              </w:rPr>
              <w:t>+convertible securities that were</w:t>
              <w:br/>
              <w:t>converted</w:t>
            </w:r>
          </w:p>
          <w:p>
            <w:pPr>
              <w:pStyle w:val="TableContents"/>
              <w:bidi w:val="0"/>
              <w:spacing w:before="104" w:after="283"/>
              <w:jc w:val="left"/>
              <w:rPr>
                <w:rFonts w:ascii="Arial" w:hAnsi="Arial"/>
                <w:color w:val="000000"/>
                <w:sz w:val="18"/>
              </w:rPr>
            </w:pPr>
            <w:r>
              <w:rPr>
                <w:rFonts w:ascii="Arial" w:hAnsi="Arial"/>
                <w:color w:val="000000"/>
                <w:sz w:val="18"/>
              </w:rPr>
              <w:t>101,573</w:t>
            </w:r>
          </w:p>
        </w:tc>
        <w:tc>
          <w:tcPr>
            <w:tcW w:w="2791" w:type="dxa"/>
            <w:tcBorders/>
            <w:tcMar>
              <w:top w:w="0" w:type="dxa"/>
              <w:left w:w="0" w:type="dxa"/>
              <w:bottom w:w="0" w:type="dxa"/>
              <w:right w:w="0" w:type="dxa"/>
            </w:tcMar>
            <w:vAlign w:val="center"/>
          </w:tcPr>
          <w:p>
            <w:pPr>
              <w:pStyle w:val="TableContents"/>
              <w:bidi w:val="0"/>
              <w:spacing w:before="94" w:after="283"/>
              <w:jc w:val="left"/>
              <w:rPr>
                <w:rFonts w:ascii="Arial" w:hAnsi="Arial"/>
                <w:b/>
                <w:color w:val="000000"/>
                <w:sz w:val="18"/>
              </w:rPr>
            </w:pPr>
            <w:r>
              <w:rPr>
                <w:rFonts w:ascii="Arial" w:hAnsi="Arial"/>
                <w:b/>
                <w:color w:val="000000"/>
                <w:sz w:val="18"/>
              </w:rPr>
              <w:t>The first date the options were</w:t>
              <w:br/>
              <w:t>exercised or other +convertible</w:t>
              <w:br/>
              <w:t>securities were converted</w:t>
            </w:r>
          </w:p>
          <w:p>
            <w:pPr>
              <w:pStyle w:val="TableContents"/>
              <w:bidi w:val="0"/>
              <w:spacing w:before="105" w:after="283"/>
              <w:jc w:val="left"/>
              <w:rPr>
                <w:rFonts w:ascii="Arial" w:hAnsi="Arial"/>
                <w:color w:val="000000"/>
                <w:sz w:val="18"/>
              </w:rPr>
            </w:pPr>
            <w:r>
              <w:rPr>
                <w:rFonts w:ascii="Arial" w:hAnsi="Arial"/>
                <w:color w:val="000000"/>
                <w:sz w:val="18"/>
              </w:rPr>
              <w:t>15/9/2026</w:t>
            </w:r>
          </w:p>
        </w:tc>
        <w:tc>
          <w:tcPr>
            <w:tcW w:w="2836" w:type="dxa"/>
            <w:tcBorders/>
            <w:tcMar>
              <w:top w:w="0" w:type="dxa"/>
              <w:left w:w="0" w:type="dxa"/>
              <w:bottom w:w="0" w:type="dxa"/>
              <w:right w:w="0" w:type="dxa"/>
            </w:tcMar>
            <w:vAlign w:val="center"/>
          </w:tcPr>
          <w:p>
            <w:pPr>
              <w:pStyle w:val="TableContents"/>
              <w:bidi w:val="0"/>
              <w:spacing w:before="94" w:after="283"/>
              <w:jc w:val="left"/>
              <w:rPr>
                <w:rFonts w:ascii="Arial" w:hAnsi="Arial"/>
                <w:b/>
                <w:color w:val="000000"/>
                <w:sz w:val="18"/>
              </w:rPr>
            </w:pPr>
            <w:r>
              <w:rPr>
                <w:rFonts w:ascii="Arial" w:hAnsi="Arial"/>
                <w:b/>
                <w:color w:val="000000"/>
                <w:sz w:val="18"/>
              </w:rPr>
              <w:t>The last date the options were</w:t>
              <w:br/>
              <w:t>exercised or other +convertible</w:t>
              <w:br/>
              <w:t>securities were converted</w:t>
            </w:r>
          </w:p>
          <w:p>
            <w:pPr>
              <w:pStyle w:val="TableContents"/>
              <w:bidi w:val="0"/>
              <w:spacing w:before="105" w:after="283"/>
              <w:jc w:val="left"/>
              <w:rPr>
                <w:rFonts w:ascii="Arial" w:hAnsi="Arial"/>
                <w:color w:val="000000"/>
                <w:sz w:val="18"/>
              </w:rPr>
            </w:pPr>
            <w:r>
              <w:rPr>
                <w:rFonts w:ascii="Arial" w:hAnsi="Arial"/>
                <w:color w:val="000000"/>
                <w:sz w:val="18"/>
              </w:rPr>
              <w:t>15/9/2026</w:t>
            </w:r>
          </w:p>
        </w:tc>
      </w:tr>
    </w:tbl>
    <w:p>
      <w:pPr>
        <w:pStyle w:val="TextBody"/>
        <w:bidi w:val="0"/>
        <w:jc w:val="left"/>
        <w:rPr/>
      </w:pPr>
      <w:r>
        <w:rPr/>
        <w:t> </w:t>
      </w:r>
    </w:p>
    <w:p>
      <w:pPr>
        <w:pStyle w:val="TextBody"/>
        <w:bidi w:val="0"/>
        <w:spacing w:before="10" w:after="283"/>
        <w:jc w:val="left"/>
        <w:rPr/>
      </w:pPr>
      <w:r>
        <w:rPr/>
        <w:t> </w:t>
      </w:r>
    </w:p>
    <w:p>
      <w:pPr>
        <w:pStyle w:val="TextBody"/>
        <w:bidi w:val="0"/>
        <w:spacing w:before="95" w:after="283"/>
        <w:jc w:val="left"/>
        <w:rPr>
          <w:rFonts w:ascii="Arial" w:hAnsi="Arial"/>
          <w:b/>
          <w:color w:val="000000"/>
          <w:sz w:val="18"/>
        </w:rPr>
      </w:pPr>
      <w:r>
        <w:rPr>
          <w:rFonts w:ascii="Arial" w:hAnsi="Arial"/>
          <w:b/>
          <w:color w:val="000000"/>
          <w:sz w:val="18"/>
        </w:rPr>
        <w:t>Is this all of the options or other +convertible securities on issue of that type (ie have all of those options now been exercised or have all of those convertible securities now been converted)?</w:t>
      </w:r>
    </w:p>
    <w:p>
      <w:pPr>
        <w:pStyle w:val="TextBody"/>
        <w:bidi w:val="0"/>
        <w:jc w:val="left"/>
        <w:rPr>
          <w:rFonts w:ascii="Arial" w:hAnsi="Arial"/>
          <w:color w:val="000000"/>
          <w:sz w:val="18"/>
        </w:rPr>
      </w:pPr>
      <w:r>
        <w:rPr>
          <w:rFonts w:ascii="Arial" w:hAnsi="Arial"/>
          <w:color w:val="000000"/>
          <w:sz w:val="18"/>
        </w:rPr>
        <w:t>No</w:t>
      </w:r>
    </w:p>
    <w:p>
      <w:pPr>
        <w:pStyle w:val="TextBody"/>
        <w:bidi w:val="0"/>
        <w:spacing w:before="48" w:after="283"/>
        <w:jc w:val="left"/>
        <w:rPr>
          <w:rFonts w:ascii="Arial" w:hAnsi="Arial"/>
          <w:b/>
          <w:color w:val="000000"/>
          <w:sz w:val="18"/>
        </w:rPr>
      </w:pPr>
      <w:r>
        <w:rPr>
          <w:rFonts w:ascii="Arial" w:hAnsi="Arial"/>
          <w:b/>
          <w:color w:val="000000"/>
          <w:sz w:val="18"/>
        </w:rPr>
        <w:t>The right of the holder of the options or other +convertible securities to receive the +underlying securities is being satisfied by:</w:t>
      </w:r>
    </w:p>
    <w:p>
      <w:pPr>
        <w:pStyle w:val="TextBody"/>
        <w:bidi w:val="0"/>
        <w:jc w:val="left"/>
        <w:rPr>
          <w:rFonts w:ascii="Arial" w:hAnsi="Arial"/>
          <w:color w:val="000000"/>
          <w:sz w:val="18"/>
        </w:rPr>
      </w:pPr>
      <w:r>
        <w:rPr>
          <w:rFonts w:ascii="Arial" w:hAnsi="Arial"/>
          <w:color w:val="000000"/>
          <w:sz w:val="18"/>
        </w:rPr>
        <w:t>An issue of new +securities</w:t>
      </w:r>
    </w:p>
    <w:p>
      <w:pPr>
        <w:pStyle w:val="TextBody"/>
        <w:bidi w:val="0"/>
        <w:spacing w:before="48" w:after="283"/>
        <w:jc w:val="left"/>
        <w:rPr>
          <w:rFonts w:ascii="Arial" w:hAnsi="Arial"/>
          <w:b/>
          <w:color w:val="000000"/>
          <w:sz w:val="18"/>
        </w:rPr>
      </w:pPr>
      <w:r>
        <w:rPr>
          <w:rFonts w:ascii="Arial" w:hAnsi="Arial"/>
          <w:b/>
          <w:color w:val="000000"/>
          <w:sz w:val="18"/>
        </w:rPr>
        <w:t>The underlying +securities being received by the holder are:</w:t>
      </w:r>
    </w:p>
    <w:p>
      <w:pPr>
        <w:pStyle w:val="TextBody"/>
        <w:bidi w:val="0"/>
        <w:jc w:val="left"/>
        <w:rPr>
          <w:rFonts w:ascii="Arial" w:hAnsi="Arial"/>
          <w:color w:val="000000"/>
          <w:sz w:val="18"/>
        </w:rPr>
      </w:pPr>
      <w:r>
        <w:rPr>
          <w:rFonts w:ascii="Arial" w:hAnsi="Arial"/>
          <w:color w:val="000000"/>
          <w:sz w:val="18"/>
        </w:rPr>
        <w:t>Intended to be, but are not yet, quoted by ASX</w:t>
      </w:r>
    </w:p>
    <w:p>
      <w:pPr>
        <w:pStyle w:val="TextBody"/>
        <w:bidi w:val="0"/>
        <w:spacing w:before="48" w:after="283"/>
        <w:jc w:val="left"/>
        <w:rPr>
          <w:rFonts w:ascii="Arial" w:hAnsi="Arial"/>
          <w:b/>
          <w:color w:val="000000"/>
          <w:sz w:val="18"/>
        </w:rPr>
      </w:pPr>
      <w:r>
        <w:rPr>
          <w:rFonts w:ascii="Arial" w:hAnsi="Arial"/>
          <w:b/>
          <w:color w:val="000000"/>
          <w:sz w:val="18"/>
        </w:rPr>
        <w:t>Were the options being exercised or other +convertible securities being converted issued under an +employee incentive scheme?</w:t>
      </w:r>
    </w:p>
    <w:p>
      <w:pPr>
        <w:pStyle w:val="TextBody"/>
        <w:bidi w:val="0"/>
        <w:jc w:val="left"/>
        <w:rPr>
          <w:rFonts w:ascii="Arial" w:hAnsi="Arial"/>
          <w:color w:val="000000"/>
          <w:sz w:val="18"/>
        </w:rPr>
      </w:pPr>
      <w:r>
        <w:rPr>
          <w:rFonts w:ascii="Arial" w:hAnsi="Arial"/>
          <w:color w:val="000000"/>
          <w:sz w:val="18"/>
        </w:rPr>
        <w:t>Yes</w:t>
      </w:r>
    </w:p>
    <w:p>
      <w:pPr>
        <w:pStyle w:val="TextBody"/>
        <w:bidi w:val="0"/>
        <w:jc w:val="left"/>
        <w:rPr>
          <w:rFonts w:ascii="Arial" w:hAnsi="Arial"/>
          <w:b/>
          <w:color w:val="000000"/>
          <w:sz w:val="18"/>
        </w:rPr>
      </w:pPr>
      <w:r>
        <w:rPr>
          <w:rFonts w:ascii="Arial" w:hAnsi="Arial"/>
          <w:b/>
          <w:color w:val="000000"/>
          <w:sz w:val="18"/>
        </w:rPr>
        <w:t>Are any of the options being exercised or other +convertible securities being converted held by +key managemetn personnel (KMP) or an +associate?</w:t>
      </w:r>
    </w:p>
    <w:p>
      <w:pPr>
        <w:pStyle w:val="TextBody"/>
        <w:bidi w:val="0"/>
        <w:spacing w:before="48" w:after="283"/>
        <w:jc w:val="left"/>
        <w:rPr>
          <w:rFonts w:ascii="Arial" w:hAnsi="Arial"/>
          <w:color w:val="000000"/>
          <w:sz w:val="18"/>
        </w:rPr>
      </w:pPr>
      <w:r>
        <w:rPr>
          <w:rFonts w:ascii="Arial" w:hAnsi="Arial"/>
          <w:color w:val="000000"/>
          <w:sz w:val="18"/>
        </w:rPr>
        <w:t>No</w:t>
      </w:r>
    </w:p>
    <w:p>
      <w:pPr>
        <w:pStyle w:val="TextBody"/>
        <w:bidi w:val="0"/>
        <w:spacing w:before="48" w:after="283"/>
        <w:jc w:val="left"/>
        <w:rPr/>
      </w:pPr>
      <w:r>
        <w:rPr/>
        <w:t> </w:t>
      </w:r>
    </w:p>
    <w:p>
      <w:pPr>
        <w:pStyle w:val="TextBody"/>
        <w:bidi w:val="0"/>
        <w:spacing w:before="1" w:after="283"/>
        <w:jc w:val="left"/>
        <w:rPr>
          <w:rFonts w:ascii="Arial" w:hAnsi="Arial"/>
          <w:b/>
          <w:color w:val="000000"/>
          <w:sz w:val="18"/>
        </w:rPr>
      </w:pPr>
      <w:r>
        <w:rPr>
          <w:rFonts w:ascii="Arial" w:hAnsi="Arial"/>
          <w:b/>
          <w:color w:val="000000"/>
          <w:sz w:val="18"/>
        </w:rPr>
        <w:t>Issue date</w:t>
      </w:r>
    </w:p>
    <w:p>
      <w:pPr>
        <w:pStyle w:val="TextBody"/>
        <w:bidi w:val="0"/>
        <w:spacing w:before="105" w:after="283"/>
        <w:jc w:val="left"/>
        <w:rPr>
          <w:rFonts w:ascii="Arial" w:hAnsi="Arial"/>
          <w:color w:val="000000"/>
          <w:sz w:val="18"/>
        </w:rPr>
      </w:pPr>
      <w:r>
        <w:rPr>
          <w:rFonts w:ascii="Arial" w:hAnsi="Arial"/>
          <w:color w:val="000000"/>
          <w:sz w:val="18"/>
        </w:rPr>
        <w:t>15/9/2026</w:t>
      </w:r>
    </w:p>
    <w:p>
      <w:pPr>
        <w:pStyle w:val="TextBody"/>
        <w:bidi w:val="0"/>
        <w:spacing w:before="153" w:after="283"/>
        <w:jc w:val="left"/>
        <w:rPr>
          <w:rFonts w:ascii="Arial" w:hAnsi="Arial"/>
          <w:b/>
          <w:color w:val="000000"/>
          <w:sz w:val="18"/>
        </w:rPr>
      </w:pPr>
      <w:r>
        <w:rPr>
          <w:rFonts w:ascii="Arial" w:hAnsi="Arial"/>
          <w:b/>
          <w:color w:val="000000"/>
          <w:sz w:val="18"/>
        </w:rPr>
        <w:t>Will the +securities to be quoted rank equally in all respects from their issue date with the existing issued</w:t>
      </w:r>
    </w:p>
    <w:p>
      <w:pPr>
        <w:pStyle w:val="TextBody"/>
        <w:bidi w:val="0"/>
        <w:spacing w:before="3" w:after="283"/>
        <w:jc w:val="left"/>
        <w:rPr>
          <w:rFonts w:ascii="Arial" w:hAnsi="Arial"/>
          <w:b/>
          <w:color w:val="000000"/>
          <w:sz w:val="18"/>
        </w:rPr>
      </w:pPr>
      <w:r>
        <w:rPr>
          <w:rFonts w:ascii="Arial" w:hAnsi="Arial"/>
          <w:b/>
          <w:color w:val="000000"/>
          <w:sz w:val="18"/>
        </w:rPr>
        <w:t>+securities in that class?</w:t>
      </w:r>
    </w:p>
    <w:p>
      <w:pPr>
        <w:pStyle w:val="TextBody"/>
        <w:bidi w:val="0"/>
        <w:jc w:val="left"/>
        <w:rPr>
          <w:rFonts w:ascii="Arial" w:hAnsi="Arial"/>
          <w:color w:val="000000"/>
          <w:sz w:val="18"/>
        </w:rPr>
      </w:pPr>
      <w:r>
        <w:rPr>
          <w:rFonts w:ascii="Arial" w:hAnsi="Arial"/>
          <w:color w:val="000000"/>
          <w:sz w:val="18"/>
        </w:rPr>
        <w:t>Yes</w:t>
      </w:r>
    </w:p>
    <w:p>
      <w:pPr>
        <w:pStyle w:val="TextBody"/>
        <w:bidi w:val="0"/>
        <w:jc w:val="left"/>
        <w:rPr/>
      </w:pPr>
      <w:r>
        <w:rPr/>
        <w:t> </w:t>
      </w:r>
    </w:p>
    <w:tbl>
      <w:tblPr>
        <w:tblW w:w="4807" w:type="dxa"/>
        <w:jc w:val="left"/>
        <w:tblInd w:w="0" w:type="dxa"/>
        <w:tblLayout w:type="fixed"/>
        <w:tblCellMar>
          <w:top w:w="28" w:type="dxa"/>
          <w:left w:w="28" w:type="dxa"/>
          <w:bottom w:w="28" w:type="dxa"/>
          <w:right w:w="28" w:type="dxa"/>
        </w:tblCellMar>
      </w:tblPr>
      <w:tblGrid>
        <w:gridCol w:w="4341"/>
        <w:gridCol w:w="466"/>
      </w:tblGrid>
      <w:tr>
        <w:trPr/>
        <w:tc>
          <w:tcPr>
            <w:tcW w:w="434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4341" w:type="dxa"/>
            <w:tcBorders>
              <w:top w:val="single" w:sz="4" w:space="0" w:color="7F7F7F"/>
            </w:tcBorders>
            <w:tcMar>
              <w:left w:w="0" w:type="dxa"/>
              <w:bottom w:w="0" w:type="dxa"/>
              <w:right w:w="0" w:type="dxa"/>
            </w:tcMar>
            <w:vAlign w:val="center"/>
          </w:tcPr>
          <w:p>
            <w:pPr>
              <w:pStyle w:val="TableContents"/>
              <w:bidi w:val="0"/>
              <w:spacing w:before="0" w:after="283"/>
              <w:jc w:val="left"/>
              <w:rPr/>
            </w:pPr>
            <w:r>
              <w:rPr/>
              <w:t> </w:t>
            </w:r>
          </w:p>
        </w:tc>
        <w:tc>
          <w:tcPr>
            <w:tcW w:w="466" w:type="dxa"/>
            <w:tcBorders>
              <w:top w:val="single" w:sz="4" w:space="0" w:color="7F7F7F"/>
            </w:tcBorders>
            <w:tcMar>
              <w:left w:w="0" w:type="dxa"/>
              <w:bottom w:w="0" w:type="dxa"/>
              <w:right w:w="0" w:type="dxa"/>
            </w:tcMar>
            <w:vAlign w:val="center"/>
          </w:tcPr>
          <w:p>
            <w:pPr>
              <w:pStyle w:val="TableContents"/>
              <w:bidi w:val="0"/>
              <w:spacing w:before="0" w:after="283"/>
              <w:ind w:left="0" w:right="0" w:firstLine="20"/>
              <w:jc w:val="left"/>
              <w:rPr/>
            </w:pPr>
            <w:r>
              <w:rPr/>
              <w:t> </w:t>
            </w:r>
          </w:p>
        </w:tc>
      </w:tr>
      <w:tr>
        <w:trPr/>
        <w:tc>
          <w:tcPr>
            <w:tcW w:w="4341" w:type="dxa"/>
            <w:tcBorders/>
            <w:tcMar>
              <w:top w:w="0" w:type="dxa"/>
              <w:left w:w="0" w:type="dxa"/>
              <w:bottom w:w="0" w:type="dxa"/>
              <w:right w:w="0" w:type="dxa"/>
            </w:tcMar>
            <w:vAlign w:val="center"/>
          </w:tcPr>
          <w:p>
            <w:pPr>
              <w:pStyle w:val="TableContents"/>
              <w:bidi w:val="0"/>
              <w:spacing w:before="0" w:after="283"/>
              <w:ind w:left="0" w:right="0" w:firstLine="20"/>
              <w:jc w:val="left"/>
              <w:rPr>
                <w:rFonts w:ascii="Arial" w:hAnsi="Arial"/>
                <w:color w:val="000000"/>
                <w:sz w:val="18"/>
              </w:rPr>
            </w:pPr>
            <w:r>
              <w:rPr>
                <w:rFonts w:ascii="Arial" w:hAnsi="Arial"/>
                <w:color w:val="000000"/>
                <w:sz w:val="18"/>
              </w:rPr>
              <w:t>Appendix 2A - Application for quotation of securities</w:t>
            </w:r>
          </w:p>
        </w:tc>
        <w:tc>
          <w:tcPr>
            <w:tcW w:w="4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 / 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897" w:type="dxa"/>
        <w:jc w:val="left"/>
        <w:tblInd w:w="0" w:type="dxa"/>
        <w:tblLayout w:type="fixed"/>
        <w:tblCellMar>
          <w:top w:w="28" w:type="dxa"/>
          <w:left w:w="28" w:type="dxa"/>
          <w:bottom w:w="28" w:type="dxa"/>
          <w:right w:w="28" w:type="dxa"/>
        </w:tblCellMar>
      </w:tblPr>
      <w:tblGrid>
        <w:gridCol w:w="526"/>
        <w:gridCol w:w="4371"/>
      </w:tblGrid>
      <w:tr>
        <w:trPr/>
        <w:tc>
          <w:tcPr>
            <w:tcW w:w="526" w:type="dxa"/>
            <w:tcBorders/>
            <w:vAlign w:val="center"/>
          </w:tcPr>
          <w:p>
            <w:pPr>
              <w:pStyle w:val="TableContents"/>
              <w:bidi w:val="0"/>
              <w:spacing w:before="0" w:after="283"/>
              <w:jc w:val="left"/>
              <w:rPr>
                <w:sz w:val="4"/>
                <w:szCs w:val="4"/>
              </w:rPr>
            </w:pPr>
            <w:r>
              <w:rPr>
                <w:sz w:val="4"/>
                <w:szCs w:val="4"/>
              </w:rPr>
            </w:r>
          </w:p>
        </w:tc>
        <w:tc>
          <w:tcPr>
            <w:tcW w:w="4371" w:type="dxa"/>
            <w:tcBorders/>
            <w:vAlign w:val="center"/>
          </w:tcPr>
          <w:p>
            <w:pPr>
              <w:pStyle w:val="TableContents"/>
              <w:bidi w:val="0"/>
              <w:spacing w:before="0" w:after="283"/>
              <w:jc w:val="left"/>
              <w:rPr>
                <w:sz w:val="4"/>
                <w:szCs w:val="4"/>
              </w:rPr>
            </w:pPr>
            <w:r>
              <w:rPr>
                <w:sz w:val="4"/>
                <w:szCs w:val="4"/>
              </w:rPr>
            </w:r>
          </w:p>
        </w:tc>
      </w:tr>
      <w:tr>
        <w:trPr/>
        <w:tc>
          <w:tcPr>
            <w:tcW w:w="526" w:type="dxa"/>
            <w:tcBorders/>
            <w:tcMar>
              <w:top w:w="0" w:type="dxa"/>
              <w:left w:w="0" w:type="dxa"/>
              <w:bottom w:w="0" w:type="dxa"/>
              <w:right w:w="0" w:type="dxa"/>
            </w:tcMar>
            <w:vAlign w:val="center"/>
          </w:tcPr>
          <w:p>
            <w:pPr>
              <w:pStyle w:val="TableContents"/>
              <w:bidi w:val="0"/>
              <w:spacing w:before="0" w:after="283"/>
              <w:ind w:left="0" w:right="0" w:firstLine="20"/>
              <w:jc w:val="left"/>
              <w:rPr/>
            </w:pPr>
            <w:r>
              <w:rPr/>
              <w:drawing>
                <wp:inline distT="0" distB="0" distL="0" distR="0">
                  <wp:extent cx="257175" cy="2667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57175" cy="266700"/>
                          </a:xfrm>
                          <a:prstGeom prst="rect">
                            <a:avLst/>
                          </a:prstGeom>
                        </pic:spPr>
                      </pic:pic>
                    </a:graphicData>
                  </a:graphic>
                </wp:inline>
              </w:drawing>
            </w:r>
          </w:p>
        </w:tc>
        <w:tc>
          <w:tcPr>
            <w:tcW w:w="4371" w:type="dxa"/>
            <w:tcBorders/>
            <w:tcMar>
              <w:top w:w="0" w:type="dxa"/>
              <w:left w:w="0" w:type="dxa"/>
              <w:bottom w:w="0" w:type="dxa"/>
              <w:right w:w="0" w:type="dxa"/>
            </w:tcMar>
            <w:vAlign w:val="center"/>
          </w:tcPr>
          <w:p>
            <w:pPr>
              <w:pStyle w:val="TableContents"/>
              <w:bidi w:val="0"/>
              <w:spacing w:before="14" w:after="283"/>
              <w:ind w:left="0" w:right="0" w:firstLine="20"/>
              <w:jc w:val="left"/>
              <w:rPr>
                <w:rFonts w:ascii="Arial" w:hAnsi="Arial"/>
                <w:color w:val="000000"/>
                <w:sz w:val="18"/>
              </w:rPr>
            </w:pPr>
            <w:r>
              <w:rPr>
                <w:rFonts w:ascii="Arial" w:hAnsi="Arial"/>
                <w:color w:val="000000"/>
                <w:sz w:val="18"/>
              </w:rPr>
              <w:t>Appendix 2A - Application for quotation of securities</w:t>
            </w:r>
          </w:p>
        </w:tc>
      </w:tr>
      <w:tr>
        <w:trPr/>
        <w:tc>
          <w:tcPr>
            <w:tcW w:w="526" w:type="dxa"/>
            <w:tcBorders>
              <w:bottom w:val="single" w:sz="4" w:space="0" w:color="7F7F7F"/>
            </w:tcBorders>
            <w:tcMar>
              <w:top w:w="0" w:type="dxa"/>
              <w:left w:w="0" w:type="dxa"/>
              <w:right w:w="0" w:type="dxa"/>
            </w:tcMar>
            <w:vAlign w:val="center"/>
          </w:tcPr>
          <w:p>
            <w:pPr>
              <w:pStyle w:val="TableContents"/>
              <w:bidi w:val="0"/>
              <w:spacing w:before="0" w:after="283"/>
              <w:jc w:val="left"/>
              <w:rPr/>
            </w:pPr>
            <w:r>
              <w:rPr/>
              <w:t> </w:t>
            </w:r>
          </w:p>
        </w:tc>
        <w:tc>
          <w:tcPr>
            <w:tcW w:w="4371" w:type="dxa"/>
            <w:tcBorders>
              <w:bottom w:val="single" w:sz="4" w:space="0" w:color="7F7F7F"/>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4" w:after="283"/>
        <w:jc w:val="left"/>
        <w:rPr>
          <w:rFonts w:ascii="Arial" w:hAnsi="Arial"/>
          <w:color w:val="000000"/>
          <w:sz w:val="18"/>
        </w:rPr>
      </w:pPr>
      <w:r>
        <w:rPr>
          <w:rFonts w:ascii="Arial" w:hAnsi="Arial"/>
          <w:color w:val="000000"/>
          <w:sz w:val="18"/>
        </w:rPr>
        <w:t>Issue details</w:t>
      </w:r>
    </w:p>
    <w:p>
      <w:pPr>
        <w:pStyle w:val="TextBody"/>
        <w:pBdr>
          <w:bottom w:val="single" w:sz="4" w:space="1" w:color="E3E3E3"/>
        </w:pBdr>
        <w:bidi w:val="0"/>
        <w:jc w:val="left"/>
        <w:rPr/>
      </w:pPr>
      <w:r>
        <w:rPr/>
        <w:t> </w:t>
      </w:r>
    </w:p>
    <w:p>
      <w:pPr>
        <w:pStyle w:val="TextBody"/>
        <w:bidi w:val="0"/>
        <w:jc w:val="left"/>
        <w:rPr/>
      </w:pPr>
      <w:r>
        <w:rPr/>
        <w:t> </w:t>
      </w:r>
    </w:p>
    <w:p>
      <w:pPr>
        <w:pStyle w:val="TextBody"/>
        <w:bidi w:val="0"/>
        <w:spacing w:before="137" w:after="283"/>
        <w:jc w:val="left"/>
        <w:rPr>
          <w:rFonts w:ascii="Arial" w:hAnsi="Arial"/>
          <w:b/>
          <w:color w:val="000000"/>
          <w:sz w:val="18"/>
        </w:rPr>
      </w:pPr>
      <w:r>
        <w:rPr>
          <w:rFonts w:ascii="Arial" w:hAnsi="Arial"/>
          <w:b/>
          <w:color w:val="000000"/>
          <w:sz w:val="18"/>
        </w:rPr>
        <w:t>Number of +securities to be quoted</w:t>
      </w:r>
    </w:p>
    <w:p>
      <w:pPr>
        <w:pStyle w:val="TextBody"/>
        <w:bidi w:val="0"/>
        <w:spacing w:before="105" w:after="283"/>
        <w:jc w:val="left"/>
        <w:rPr>
          <w:rFonts w:ascii="Arial" w:hAnsi="Arial"/>
          <w:color w:val="000000"/>
          <w:sz w:val="18"/>
        </w:rPr>
      </w:pPr>
      <w:r>
        <w:rPr>
          <w:rFonts w:ascii="Arial" w:hAnsi="Arial"/>
          <w:color w:val="000000"/>
          <w:sz w:val="18"/>
        </w:rPr>
        <w:t>68,107</w:t>
      </w:r>
    </w:p>
    <w:p>
      <w:pPr>
        <w:pStyle w:val="TextBody"/>
        <w:bidi w:val="0"/>
        <w:spacing w:before="154" w:after="283"/>
        <w:jc w:val="left"/>
        <w:rPr>
          <w:rFonts w:ascii="Arial" w:hAnsi="Arial"/>
          <w:b/>
          <w:color w:val="000000"/>
          <w:sz w:val="18"/>
        </w:rPr>
      </w:pPr>
      <w:r>
        <w:rPr>
          <w:rFonts w:ascii="Arial" w:hAnsi="Arial"/>
          <w:b/>
          <w:color w:val="000000"/>
          <w:sz w:val="18"/>
        </w:rPr>
        <w:t>Are the +securities being issued for a cash consideration?</w:t>
      </w:r>
    </w:p>
    <w:p>
      <w:pPr>
        <w:pStyle w:val="TextBody"/>
        <w:bidi w:val="0"/>
        <w:spacing w:before="84" w:after="283"/>
        <w:jc w:val="left"/>
        <w:rPr>
          <w:rFonts w:ascii="Arial" w:hAnsi="Arial"/>
          <w:color w:val="000000"/>
          <w:sz w:val="18"/>
        </w:rPr>
      </w:pPr>
      <w:r>
        <w:rPr>
          <w:rFonts w:ascii="Arial" w:hAnsi="Arial"/>
          <w:color w:val="000000"/>
          <w:sz w:val="18"/>
        </w:rPr>
        <w:t>No</w:t>
      </w:r>
    </w:p>
    <w:p>
      <w:pPr>
        <w:pStyle w:val="TextBody"/>
        <w:bidi w:val="0"/>
        <w:spacing w:before="11" w:after="283"/>
        <w:jc w:val="left"/>
        <w:rPr/>
      </w:pPr>
      <w:r>
        <w:rPr/>
        <w:t> </w:t>
      </w:r>
    </w:p>
    <w:p>
      <w:pPr>
        <w:pStyle w:val="TextBody"/>
        <w:bidi w:val="0"/>
        <w:spacing w:before="0" w:after="40"/>
        <w:jc w:val="left"/>
        <w:rPr>
          <w:rFonts w:ascii="Arial" w:hAnsi="Arial"/>
          <w:b/>
          <w:color w:val="000000"/>
          <w:sz w:val="18"/>
        </w:rPr>
      </w:pPr>
      <w:r>
        <w:rPr>
          <w:rFonts w:ascii="Arial" w:hAnsi="Arial"/>
          <w:b/>
          <w:color w:val="000000"/>
          <w:sz w:val="18"/>
        </w:rPr>
        <w:t>Please describe the consideration being provided for the +securities</w:t>
      </w:r>
    </w:p>
    <w:tbl>
      <w:tblPr>
        <w:tblW w:w="6029" w:type="dxa"/>
        <w:jc w:val="left"/>
        <w:tblInd w:w="0" w:type="dxa"/>
        <w:tblLayout w:type="fixed"/>
        <w:tblCellMar>
          <w:top w:w="28" w:type="dxa"/>
          <w:left w:w="28" w:type="dxa"/>
          <w:bottom w:w="28" w:type="dxa"/>
          <w:right w:w="28" w:type="dxa"/>
        </w:tblCellMar>
      </w:tblPr>
      <w:tblGrid>
        <w:gridCol w:w="6029"/>
      </w:tblGrid>
      <w:tr>
        <w:trPr/>
        <w:tc>
          <w:tcPr>
            <w:tcW w:w="6029" w:type="dxa"/>
            <w:tcBorders/>
            <w:vAlign w:val="center"/>
          </w:tcPr>
          <w:p>
            <w:pPr>
              <w:pStyle w:val="TableContents"/>
              <w:bidi w:val="0"/>
              <w:spacing w:before="0" w:after="283"/>
              <w:ind w:left="0" w:right="0" w:firstLine="58"/>
              <w:jc w:val="left"/>
              <w:rPr>
                <w:sz w:val="4"/>
                <w:szCs w:val="4"/>
              </w:rPr>
            </w:pPr>
            <w:r>
              <w:rPr>
                <w:sz w:val="4"/>
                <w:szCs w:val="4"/>
              </w:rPr>
            </w:r>
          </w:p>
        </w:tc>
      </w:tr>
      <w:tr>
        <w:trPr/>
        <w:tc>
          <w:tcPr>
            <w:tcW w:w="6029" w:type="dxa"/>
            <w:tcBorders>
              <w:top w:val="single" w:sz="4" w:space="0" w:color="999999"/>
              <w:left w:val="single" w:sz="4" w:space="0" w:color="999999"/>
              <w:bottom w:val="single" w:sz="4" w:space="0" w:color="999999"/>
              <w:right w:val="single" w:sz="4" w:space="0" w:color="999999"/>
            </w:tcBorders>
            <w:vAlign w:val="center"/>
          </w:tcPr>
          <w:p>
            <w:pPr>
              <w:pStyle w:val="TableContents"/>
              <w:bidi w:val="0"/>
              <w:spacing w:before="62" w:after="62"/>
              <w:ind w:left="0" w:right="0" w:firstLine="58"/>
              <w:jc w:val="left"/>
              <w:rPr>
                <w:rFonts w:ascii="Arial" w:hAnsi="Arial"/>
                <w:color w:val="000000"/>
                <w:sz w:val="18"/>
              </w:rPr>
            </w:pPr>
            <w:r>
              <w:rPr>
                <w:rFonts w:ascii="Arial" w:hAnsi="Arial"/>
                <w:color w:val="000000"/>
                <w:sz w:val="18"/>
              </w:rPr>
              <w:t>Issue of ordinary shares on the vesting of employee performance rights.</w:t>
            </w:r>
          </w:p>
        </w:tc>
      </w:tr>
    </w:tbl>
    <w:p>
      <w:pPr>
        <w:pStyle w:val="TextBody"/>
        <w:bidi w:val="0"/>
        <w:spacing w:before="57" w:after="283"/>
        <w:jc w:val="left"/>
        <w:rPr>
          <w:rFonts w:ascii="Arial" w:hAnsi="Arial"/>
          <w:b/>
          <w:color w:val="000000"/>
          <w:sz w:val="18"/>
        </w:rPr>
      </w:pPr>
      <w:r>
        <w:rPr>
          <w:rFonts w:ascii="Arial" w:hAnsi="Arial"/>
          <w:b/>
          <w:color w:val="000000"/>
          <w:sz w:val="18"/>
        </w:rPr>
        <w:t>Please provide an estimate (in AUD) of the value of the consideration being provided per +security for the</w:t>
      </w:r>
    </w:p>
    <w:p>
      <w:pPr>
        <w:pStyle w:val="TextBody"/>
        <w:bidi w:val="0"/>
        <w:spacing w:before="3" w:after="283"/>
        <w:jc w:val="left"/>
        <w:rPr>
          <w:rFonts w:ascii="Arial" w:hAnsi="Arial"/>
          <w:b/>
          <w:color w:val="000000"/>
          <w:sz w:val="18"/>
        </w:rPr>
      </w:pPr>
      <w:r>
        <w:rPr>
          <w:rFonts w:ascii="Arial" w:hAnsi="Arial"/>
          <w:b/>
          <w:color w:val="000000"/>
          <w:sz w:val="18"/>
        </w:rPr>
        <w:t>+securities to be quoted</w:t>
      </w:r>
    </w:p>
    <w:p>
      <w:pPr>
        <w:pStyle w:val="TextBody"/>
        <w:bidi w:val="0"/>
        <w:spacing w:before="105" w:after="283"/>
        <w:jc w:val="left"/>
        <w:rPr>
          <w:rFonts w:ascii="Arial" w:hAnsi="Arial"/>
          <w:color w:val="000000"/>
          <w:sz w:val="18"/>
        </w:rPr>
      </w:pPr>
      <w:r>
        <w:rPr>
          <w:rFonts w:ascii="Arial" w:hAnsi="Arial"/>
          <w:color w:val="000000"/>
          <w:sz w:val="18"/>
        </w:rPr>
        <w:t>0.120000</w:t>
      </w:r>
    </w:p>
    <w:p>
      <w:pPr>
        <w:pStyle w:val="TextBody"/>
        <w:bidi w:val="0"/>
        <w:spacing w:before="154" w:after="40"/>
        <w:jc w:val="left"/>
        <w:rPr>
          <w:rFonts w:ascii="Arial" w:hAnsi="Arial"/>
          <w:b/>
          <w:color w:val="000000"/>
          <w:sz w:val="18"/>
        </w:rPr>
      </w:pPr>
      <w:r>
        <w:rPr>
          <w:rFonts w:ascii="Arial" w:hAnsi="Arial"/>
          <w:b/>
          <w:color w:val="000000"/>
          <w:sz w:val="18"/>
        </w:rPr>
        <w:t>Any other information the entity wishes to provide about the +securities to be quoted</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op w:val="single" w:sz="4" w:space="0" w:color="999999"/>
              <w:left w:val="single" w:sz="4" w:space="0" w:color="999999"/>
              <w:bottom w:val="single" w:sz="4" w:space="0" w:color="999999"/>
              <w:right w:val="single" w:sz="4" w:space="0" w:color="999999"/>
            </w:tcBorders>
            <w:vAlign w:val="center"/>
          </w:tcPr>
          <w:p>
            <w:pPr>
              <w:pStyle w:val="TableContents"/>
              <w:bidi w:val="0"/>
              <w:spacing w:before="62" w:after="62"/>
              <w:jc w:val="left"/>
              <w:rPr/>
            </w:pPr>
            <w:r>
              <w:rPr/>
              <w:t> </w:t>
            </w:r>
          </w:p>
        </w:tc>
      </w:tr>
    </w:tbl>
    <w:p>
      <w:pPr>
        <w:pStyle w:val="TextBody"/>
        <w:bidi w:val="0"/>
        <w:spacing w:before="6" w:after="283"/>
        <w:jc w:val="left"/>
        <w:rPr/>
      </w:pPr>
      <w:r>
        <w:rPr/>
        <w:t> </w:t>
      </w:r>
    </w:p>
    <w:p>
      <w:pPr>
        <w:pStyle w:val="TextBody"/>
        <w:bidi w:val="0"/>
        <w:spacing w:before="6" w:after="283"/>
        <w:jc w:val="left"/>
        <w:rPr/>
      </w:pPr>
      <w:r>
        <w:rPr/>
        <w:t> </w:t>
      </w:r>
    </w:p>
    <w:p>
      <w:pPr>
        <w:pStyle w:val="TextBody"/>
        <w:pBdr>
          <w:top w:val="single" w:sz="12" w:space="1" w:color="DDDDDD"/>
        </w:pBdr>
        <w:bidi w:val="0"/>
        <w:spacing w:before="6" w:after="283"/>
        <w:jc w:val="left"/>
        <w:rPr/>
      </w:pPr>
      <w:r>
        <w:rPr/>
        <w:t> </w:t>
      </w:r>
    </w:p>
    <w:p>
      <w:pPr>
        <w:pStyle w:val="TextBody"/>
        <w:bidi w:val="0"/>
        <w:jc w:val="left"/>
        <w:rPr/>
      </w:pPr>
      <w:r>
        <w:rPr/>
        <w:t> </w:t>
      </w:r>
    </w:p>
    <w:tbl>
      <w:tblPr>
        <w:tblW w:w="4807" w:type="dxa"/>
        <w:jc w:val="left"/>
        <w:tblInd w:w="0" w:type="dxa"/>
        <w:tblLayout w:type="fixed"/>
        <w:tblCellMar>
          <w:top w:w="28" w:type="dxa"/>
          <w:left w:w="28" w:type="dxa"/>
          <w:bottom w:w="28" w:type="dxa"/>
          <w:right w:w="28" w:type="dxa"/>
        </w:tblCellMar>
      </w:tblPr>
      <w:tblGrid>
        <w:gridCol w:w="4341"/>
        <w:gridCol w:w="466"/>
      </w:tblGrid>
      <w:tr>
        <w:trPr/>
        <w:tc>
          <w:tcPr>
            <w:tcW w:w="434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4341" w:type="dxa"/>
            <w:tcBorders>
              <w:top w:val="single" w:sz="4" w:space="0" w:color="7F7F7F"/>
            </w:tcBorders>
            <w:tcMar>
              <w:left w:w="0" w:type="dxa"/>
              <w:bottom w:w="0" w:type="dxa"/>
              <w:right w:w="0" w:type="dxa"/>
            </w:tcMar>
            <w:vAlign w:val="center"/>
          </w:tcPr>
          <w:p>
            <w:pPr>
              <w:pStyle w:val="TableContents"/>
              <w:bidi w:val="0"/>
              <w:spacing w:before="0" w:after="283"/>
              <w:jc w:val="left"/>
              <w:rPr/>
            </w:pPr>
            <w:r>
              <w:rPr/>
              <w:t> </w:t>
            </w:r>
          </w:p>
        </w:tc>
        <w:tc>
          <w:tcPr>
            <w:tcW w:w="466" w:type="dxa"/>
            <w:tcBorders>
              <w:top w:val="single" w:sz="4" w:space="0" w:color="7F7F7F"/>
            </w:tcBorders>
            <w:tcMar>
              <w:left w:w="0" w:type="dxa"/>
              <w:bottom w:w="0" w:type="dxa"/>
              <w:right w:w="0" w:type="dxa"/>
            </w:tcMar>
            <w:vAlign w:val="center"/>
          </w:tcPr>
          <w:p>
            <w:pPr>
              <w:pStyle w:val="TableContents"/>
              <w:bidi w:val="0"/>
              <w:spacing w:before="0" w:after="283"/>
              <w:ind w:left="0" w:right="0" w:firstLine="20"/>
              <w:jc w:val="left"/>
              <w:rPr/>
            </w:pPr>
            <w:r>
              <w:rPr/>
              <w:t> </w:t>
            </w:r>
          </w:p>
        </w:tc>
      </w:tr>
      <w:tr>
        <w:trPr/>
        <w:tc>
          <w:tcPr>
            <w:tcW w:w="4341" w:type="dxa"/>
            <w:tcBorders/>
            <w:tcMar>
              <w:top w:w="0" w:type="dxa"/>
              <w:left w:w="0" w:type="dxa"/>
              <w:bottom w:w="0" w:type="dxa"/>
              <w:right w:w="0" w:type="dxa"/>
            </w:tcMar>
            <w:vAlign w:val="center"/>
          </w:tcPr>
          <w:p>
            <w:pPr>
              <w:pStyle w:val="TableContents"/>
              <w:bidi w:val="0"/>
              <w:spacing w:before="0" w:after="283"/>
              <w:ind w:left="0" w:right="0" w:firstLine="20"/>
              <w:jc w:val="left"/>
              <w:rPr>
                <w:rFonts w:ascii="Arial" w:hAnsi="Arial"/>
                <w:color w:val="000000"/>
                <w:sz w:val="18"/>
              </w:rPr>
            </w:pPr>
            <w:r>
              <w:rPr>
                <w:rFonts w:ascii="Arial" w:hAnsi="Arial"/>
                <w:color w:val="000000"/>
                <w:sz w:val="18"/>
              </w:rPr>
              <w:t>Appendix 2A - Application for quotation of securities</w:t>
            </w:r>
          </w:p>
        </w:tc>
        <w:tc>
          <w:tcPr>
            <w:tcW w:w="4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 / 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897" w:type="dxa"/>
        <w:jc w:val="left"/>
        <w:tblInd w:w="0" w:type="dxa"/>
        <w:tblLayout w:type="fixed"/>
        <w:tblCellMar>
          <w:top w:w="28" w:type="dxa"/>
          <w:left w:w="28" w:type="dxa"/>
          <w:bottom w:w="28" w:type="dxa"/>
          <w:right w:w="28" w:type="dxa"/>
        </w:tblCellMar>
      </w:tblPr>
      <w:tblGrid>
        <w:gridCol w:w="526"/>
        <w:gridCol w:w="4371"/>
      </w:tblGrid>
      <w:tr>
        <w:trPr/>
        <w:tc>
          <w:tcPr>
            <w:tcW w:w="526" w:type="dxa"/>
            <w:tcBorders/>
            <w:vAlign w:val="center"/>
          </w:tcPr>
          <w:p>
            <w:pPr>
              <w:pStyle w:val="TableContents"/>
              <w:bidi w:val="0"/>
              <w:spacing w:before="0" w:after="283"/>
              <w:jc w:val="left"/>
              <w:rPr>
                <w:sz w:val="4"/>
                <w:szCs w:val="4"/>
              </w:rPr>
            </w:pPr>
            <w:r>
              <w:rPr>
                <w:sz w:val="4"/>
                <w:szCs w:val="4"/>
              </w:rPr>
            </w:r>
          </w:p>
        </w:tc>
        <w:tc>
          <w:tcPr>
            <w:tcW w:w="4371" w:type="dxa"/>
            <w:tcBorders/>
            <w:vAlign w:val="center"/>
          </w:tcPr>
          <w:p>
            <w:pPr>
              <w:pStyle w:val="TableContents"/>
              <w:bidi w:val="0"/>
              <w:spacing w:before="0" w:after="283"/>
              <w:jc w:val="left"/>
              <w:rPr>
                <w:sz w:val="4"/>
                <w:szCs w:val="4"/>
              </w:rPr>
            </w:pPr>
            <w:r>
              <w:rPr>
                <w:sz w:val="4"/>
                <w:szCs w:val="4"/>
              </w:rPr>
            </w:r>
          </w:p>
        </w:tc>
      </w:tr>
      <w:tr>
        <w:trPr/>
        <w:tc>
          <w:tcPr>
            <w:tcW w:w="526" w:type="dxa"/>
            <w:tcBorders/>
            <w:tcMar>
              <w:top w:w="0" w:type="dxa"/>
              <w:left w:w="0" w:type="dxa"/>
              <w:bottom w:w="0" w:type="dxa"/>
              <w:right w:w="0" w:type="dxa"/>
            </w:tcMar>
            <w:vAlign w:val="center"/>
          </w:tcPr>
          <w:p>
            <w:pPr>
              <w:pStyle w:val="TableContents"/>
              <w:bidi w:val="0"/>
              <w:spacing w:before="0" w:after="283"/>
              <w:ind w:left="0" w:right="0" w:firstLine="20"/>
              <w:jc w:val="left"/>
              <w:rPr/>
            </w:pPr>
            <w:r>
              <w:rPr/>
              <w:drawing>
                <wp:inline distT="0" distB="0" distL="0" distR="0">
                  <wp:extent cx="257175" cy="2667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57175" cy="266700"/>
                          </a:xfrm>
                          <a:prstGeom prst="rect">
                            <a:avLst/>
                          </a:prstGeom>
                        </pic:spPr>
                      </pic:pic>
                    </a:graphicData>
                  </a:graphic>
                </wp:inline>
              </w:drawing>
            </w:r>
          </w:p>
        </w:tc>
        <w:tc>
          <w:tcPr>
            <w:tcW w:w="4371" w:type="dxa"/>
            <w:tcBorders/>
            <w:tcMar>
              <w:top w:w="0" w:type="dxa"/>
              <w:left w:w="0" w:type="dxa"/>
              <w:bottom w:w="0" w:type="dxa"/>
              <w:right w:w="0" w:type="dxa"/>
            </w:tcMar>
            <w:vAlign w:val="center"/>
          </w:tcPr>
          <w:p>
            <w:pPr>
              <w:pStyle w:val="TableContents"/>
              <w:bidi w:val="0"/>
              <w:spacing w:before="14" w:after="283"/>
              <w:ind w:left="0" w:right="0" w:firstLine="20"/>
              <w:jc w:val="left"/>
              <w:rPr>
                <w:rFonts w:ascii="Arial" w:hAnsi="Arial"/>
                <w:color w:val="000000"/>
                <w:sz w:val="18"/>
              </w:rPr>
            </w:pPr>
            <w:r>
              <w:rPr>
                <w:rFonts w:ascii="Arial" w:hAnsi="Arial"/>
                <w:color w:val="000000"/>
                <w:sz w:val="18"/>
              </w:rPr>
              <w:t>Appendix 2A - Application for quotation of securities</w:t>
            </w:r>
          </w:p>
        </w:tc>
      </w:tr>
      <w:tr>
        <w:trPr/>
        <w:tc>
          <w:tcPr>
            <w:tcW w:w="526" w:type="dxa"/>
            <w:tcBorders>
              <w:bottom w:val="single" w:sz="4" w:space="0" w:color="7F7F7F"/>
            </w:tcBorders>
            <w:tcMar>
              <w:top w:w="0" w:type="dxa"/>
              <w:left w:w="0" w:type="dxa"/>
              <w:right w:w="0" w:type="dxa"/>
            </w:tcMar>
            <w:vAlign w:val="center"/>
          </w:tcPr>
          <w:p>
            <w:pPr>
              <w:pStyle w:val="TableContents"/>
              <w:bidi w:val="0"/>
              <w:spacing w:before="0" w:after="283"/>
              <w:jc w:val="left"/>
              <w:rPr/>
            </w:pPr>
            <w:r>
              <w:rPr/>
              <w:t> </w:t>
            </w:r>
          </w:p>
        </w:tc>
        <w:tc>
          <w:tcPr>
            <w:tcW w:w="4371" w:type="dxa"/>
            <w:tcBorders>
              <w:bottom w:val="single" w:sz="4" w:space="0" w:color="7F7F7F"/>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6" w:after="283"/>
        <w:jc w:val="left"/>
        <w:rPr/>
      </w:pPr>
      <w:r>
        <w:rPr/>
        <w:t> </w:t>
      </w:r>
    </w:p>
    <w:p>
      <w:pPr>
        <w:pStyle w:val="TextBody"/>
        <w:bidi w:val="0"/>
        <w:spacing w:before="94" w:after="283"/>
        <w:jc w:val="left"/>
        <w:rPr>
          <w:rFonts w:ascii="Arial" w:hAnsi="Arial"/>
          <w:color w:val="000000"/>
          <w:sz w:val="18"/>
        </w:rPr>
      </w:pPr>
      <w:r>
        <w:rPr>
          <w:rFonts w:ascii="Arial" w:hAnsi="Arial"/>
          <w:color w:val="000000"/>
          <w:sz w:val="18"/>
        </w:rPr>
        <w:t>Part 4 - Issued capital following quotation</w:t>
      </w:r>
    </w:p>
    <w:p>
      <w:pPr>
        <w:pStyle w:val="TextBody"/>
        <w:pBdr>
          <w:bottom w:val="single" w:sz="8" w:space="1" w:color="0C3A6C"/>
        </w:pBdr>
        <w:bidi w:val="0"/>
        <w:spacing w:before="4" w:after="283"/>
        <w:jc w:val="left"/>
        <w:rPr/>
      </w:pPr>
      <w:r>
        <w:rPr/>
        <w:t> </w:t>
      </w:r>
    </w:p>
    <w:p>
      <w:pPr>
        <w:pStyle w:val="TextBody"/>
        <w:bidi w:val="0"/>
        <w:jc w:val="left"/>
        <w:rPr/>
      </w:pPr>
      <w:r>
        <w:rPr/>
        <w:t> </w:t>
      </w:r>
    </w:p>
    <w:p>
      <w:pPr>
        <w:pStyle w:val="TextBody"/>
        <w:bidi w:val="0"/>
        <w:spacing w:before="11" w:after="283"/>
        <w:jc w:val="left"/>
        <w:rPr/>
      </w:pPr>
      <w:r>
        <w:rPr/>
        <w:t> </w:t>
      </w:r>
    </w:p>
    <w:p>
      <w:pPr>
        <w:pStyle w:val="TextBody"/>
        <w:bidi w:val="0"/>
        <w:jc w:val="left"/>
        <w:rPr>
          <w:rFonts w:ascii="Arial" w:hAnsi="Arial"/>
          <w:b/>
          <w:color w:val="000000"/>
          <w:sz w:val="18"/>
        </w:rPr>
      </w:pPr>
      <w:r>
        <w:rPr>
          <w:rFonts w:ascii="Arial" w:hAnsi="Arial"/>
          <w:b/>
          <w:color w:val="000000"/>
          <w:sz w:val="18"/>
        </w:rPr>
        <w:t>Following the quotation of the +securities the subject of this application, the issued capital of the entity will comprise:</w:t>
      </w:r>
    </w:p>
    <w:p>
      <w:pPr>
        <w:pStyle w:val="TextBody"/>
        <w:bidi w:val="0"/>
        <w:spacing w:before="83" w:after="283"/>
        <w:jc w:val="left"/>
        <w:rPr>
          <w:rFonts w:ascii="Arial" w:hAnsi="Arial"/>
          <w:color w:val="000000"/>
          <w:sz w:val="18"/>
        </w:rPr>
      </w:pPr>
      <w:r>
        <w:rPr>
          <w:rFonts w:ascii="Arial" w:hAnsi="Arial"/>
          <w:color w:val="000000"/>
          <w:sz w:val="18"/>
        </w:rPr>
        <w:t>The figures in parts 4.1 and 4.2 below are automatically generated and may not reflect the entity's current issued capital if other Appendix 2A, Appendix 3G or Appendix 3H forms are currently with ASX for processing.</w:t>
      </w:r>
    </w:p>
    <w:p>
      <w:pPr>
        <w:pStyle w:val="TextBody"/>
        <w:bidi w:val="0"/>
        <w:spacing w:before="131" w:after="283"/>
        <w:jc w:val="left"/>
        <w:rPr>
          <w:rFonts w:ascii="Arial" w:hAnsi="Arial"/>
          <w:b/>
          <w:color w:val="000000"/>
          <w:sz w:val="18"/>
        </w:rPr>
      </w:pPr>
      <w:r>
        <w:rPr>
          <w:rFonts w:ascii="Arial" w:hAnsi="Arial"/>
          <w:b/>
          <w:color w:val="000000"/>
          <w:sz w:val="18"/>
        </w:rPr>
        <w:t>4.1 Quoted +securities (total number of each +class of +securities quoted on ASX following the +quotation of the</w:t>
      </w:r>
    </w:p>
    <w:p>
      <w:pPr>
        <w:pStyle w:val="TextBody"/>
        <w:bidi w:val="0"/>
        <w:spacing w:before="3" w:after="283"/>
        <w:jc w:val="left"/>
        <w:rPr>
          <w:rFonts w:ascii="Arial" w:hAnsi="Arial"/>
          <w:b/>
          <w:color w:val="000000"/>
          <w:sz w:val="18"/>
        </w:rPr>
      </w:pPr>
      <w:r>
        <w:rPr>
          <w:rFonts w:ascii="Arial" w:hAnsi="Arial"/>
          <w:b/>
          <w:color w:val="000000"/>
          <w:sz w:val="18"/>
        </w:rPr>
        <w:t>+securities subject of this application)</w:t>
      </w:r>
    </w:p>
    <w:p>
      <w:pPr>
        <w:pStyle w:val="TextBody"/>
        <w:bidi w:val="0"/>
        <w:jc w:val="left"/>
        <w:rPr/>
      </w:pPr>
      <w:r>
        <w:rPr/>
        <w:t> </w:t>
      </w:r>
    </w:p>
    <w:tbl>
      <w:tblPr>
        <w:tblW w:w="5057" w:type="dxa"/>
        <w:jc w:val="left"/>
        <w:tblInd w:w="0" w:type="dxa"/>
        <w:tblLayout w:type="fixed"/>
        <w:tblCellMar>
          <w:top w:w="28" w:type="dxa"/>
          <w:left w:w="28" w:type="dxa"/>
          <w:bottom w:w="28" w:type="dxa"/>
          <w:right w:w="28" w:type="dxa"/>
        </w:tblCellMar>
      </w:tblPr>
      <w:tblGrid>
        <w:gridCol w:w="3181"/>
        <w:gridCol w:w="1876"/>
      </w:tblGrid>
      <w:tr>
        <w:trPr/>
        <w:tc>
          <w:tcPr>
            <w:tcW w:w="3181"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r>
      <w:tr>
        <w:trPr/>
        <w:tc>
          <w:tcPr>
            <w:tcW w:w="3181" w:type="dxa"/>
            <w:tcBorders/>
            <w:tcMar>
              <w:top w:w="0" w:type="dxa"/>
              <w:left w:w="0" w:type="dxa"/>
              <w:bottom w:w="0" w:type="dxa"/>
              <w:right w:w="0" w:type="dxa"/>
            </w:tcMar>
            <w:vAlign w:val="center"/>
          </w:tcPr>
          <w:p>
            <w:pPr>
              <w:pStyle w:val="TableContents"/>
              <w:bidi w:val="0"/>
              <w:spacing w:before="172" w:after="283"/>
              <w:jc w:val="left"/>
              <w:rPr>
                <w:rFonts w:ascii="Arial" w:hAnsi="Arial"/>
                <w:b/>
                <w:color w:val="000000"/>
                <w:sz w:val="18"/>
              </w:rPr>
            </w:pPr>
            <w:r>
              <w:rPr>
                <w:rFonts w:ascii="Arial" w:hAnsi="Arial"/>
                <w:b/>
                <w:color w:val="000000"/>
                <w:sz w:val="18"/>
              </w:rPr>
              <w:t>ASX +security code and description</w:t>
            </w:r>
          </w:p>
        </w:tc>
        <w:tc>
          <w:tcPr>
            <w:tcW w:w="1876" w:type="dxa"/>
            <w:tcBorders/>
            <w:tcMar>
              <w:top w:w="0" w:type="dxa"/>
              <w:left w:w="0" w:type="dxa"/>
              <w:bottom w:w="0" w:type="dxa"/>
              <w:right w:w="0" w:type="dxa"/>
            </w:tcMar>
            <w:vAlign w:val="center"/>
          </w:tcPr>
          <w:p>
            <w:pPr>
              <w:pStyle w:val="TableContents"/>
              <w:bidi w:val="0"/>
              <w:jc w:val="right"/>
              <w:rPr>
                <w:rFonts w:ascii="Arial" w:hAnsi="Arial"/>
                <w:b/>
                <w:color w:val="000000"/>
                <w:sz w:val="18"/>
              </w:rPr>
            </w:pPr>
            <w:r>
              <w:rPr>
                <w:rFonts w:ascii="Arial" w:hAnsi="Arial"/>
                <w:b/>
                <w:color w:val="000000"/>
                <w:sz w:val="18"/>
              </w:rPr>
              <w:t>Total number of</w:t>
            </w:r>
          </w:p>
          <w:p>
            <w:pPr>
              <w:pStyle w:val="TableContents"/>
              <w:bidi w:val="0"/>
              <w:spacing w:before="3" w:after="283"/>
              <w:jc w:val="right"/>
              <w:rPr>
                <w:rFonts w:ascii="Arial" w:hAnsi="Arial"/>
                <w:b/>
                <w:color w:val="000000"/>
                <w:sz w:val="18"/>
              </w:rPr>
            </w:pPr>
            <w:r>
              <w:rPr>
                <w:rFonts w:ascii="Arial" w:hAnsi="Arial"/>
                <w:b/>
                <w:color w:val="000000"/>
                <w:sz w:val="18"/>
              </w:rPr>
              <w:t>+securities on issue</w:t>
            </w:r>
          </w:p>
        </w:tc>
      </w:tr>
      <w:tr>
        <w:trPr/>
        <w:tc>
          <w:tcPr>
            <w:tcW w:w="3181"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NVX : ORDINARY FULLY PAID</w:t>
            </w:r>
          </w:p>
        </w:tc>
        <w:tc>
          <w:tcPr>
            <w:tcW w:w="187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997,852,692</w:t>
            </w:r>
          </w:p>
        </w:tc>
      </w:tr>
    </w:tbl>
    <w:p>
      <w:pPr>
        <w:pStyle w:val="TextBody"/>
        <w:bidi w:val="0"/>
        <w:jc w:val="left"/>
        <w:rPr/>
      </w:pPr>
      <w:r>
        <w:rPr/>
        <w:t> </w:t>
      </w:r>
    </w:p>
    <w:p>
      <w:pPr>
        <w:pStyle w:val="TextBody"/>
        <w:bidi w:val="0"/>
        <w:spacing w:before="10" w:after="283"/>
        <w:jc w:val="left"/>
        <w:rPr/>
      </w:pPr>
      <w:r>
        <w:rPr/>
        <w:t> </w:t>
      </w:r>
    </w:p>
    <w:p>
      <w:pPr>
        <w:pStyle w:val="TextBody"/>
        <w:bidi w:val="0"/>
        <w:spacing w:before="1" w:after="283"/>
        <w:jc w:val="left"/>
        <w:rPr>
          <w:rFonts w:ascii="Arial" w:hAnsi="Arial"/>
          <w:b/>
          <w:color w:val="000000"/>
          <w:sz w:val="18"/>
        </w:rPr>
      </w:pPr>
      <w:r>
        <w:rPr>
          <w:rFonts w:ascii="Arial" w:hAnsi="Arial"/>
          <w:b/>
          <w:color w:val="000000"/>
          <w:sz w:val="18"/>
        </w:rPr>
        <w:t>4.2 Unquoted +securities (total number of each +class of +securities issued but not quoted on ASX)</w:t>
      </w:r>
    </w:p>
    <w:p>
      <w:pPr>
        <w:pStyle w:val="TextBody"/>
        <w:bidi w:val="0"/>
        <w:spacing w:before="7" w:after="283"/>
        <w:jc w:val="left"/>
        <w:rPr/>
      </w:pPr>
      <w:r>
        <w:rPr/>
        <w:t> </w:t>
      </w:r>
    </w:p>
    <w:tbl>
      <w:tblPr>
        <w:tblW w:w="8301" w:type="dxa"/>
        <w:jc w:val="left"/>
        <w:tblInd w:w="0" w:type="dxa"/>
        <w:tblLayout w:type="fixed"/>
        <w:tblCellMar>
          <w:top w:w="28" w:type="dxa"/>
          <w:left w:w="28" w:type="dxa"/>
          <w:bottom w:w="28" w:type="dxa"/>
          <w:right w:w="28" w:type="dxa"/>
        </w:tblCellMar>
      </w:tblPr>
      <w:tblGrid>
        <w:gridCol w:w="6425"/>
        <w:gridCol w:w="1876"/>
      </w:tblGrid>
      <w:tr>
        <w:trPr/>
        <w:tc>
          <w:tcPr>
            <w:tcW w:w="6425"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r>
      <w:tr>
        <w:trPr/>
        <w:tc>
          <w:tcPr>
            <w:tcW w:w="6425" w:type="dxa"/>
            <w:tcBorders/>
            <w:tcMar>
              <w:top w:w="0" w:type="dxa"/>
              <w:left w:w="0" w:type="dxa"/>
              <w:bottom w:w="0" w:type="dxa"/>
              <w:right w:w="0" w:type="dxa"/>
            </w:tcMar>
            <w:vAlign w:val="center"/>
          </w:tcPr>
          <w:p>
            <w:pPr>
              <w:pStyle w:val="TableContents"/>
              <w:bidi w:val="0"/>
              <w:spacing w:before="172" w:after="283"/>
              <w:jc w:val="left"/>
              <w:rPr>
                <w:rFonts w:ascii="Arial" w:hAnsi="Arial"/>
                <w:b/>
                <w:color w:val="000000"/>
                <w:sz w:val="18"/>
              </w:rPr>
            </w:pPr>
            <w:r>
              <w:rPr>
                <w:rFonts w:ascii="Arial" w:hAnsi="Arial"/>
                <w:b/>
                <w:color w:val="000000"/>
                <w:sz w:val="18"/>
              </w:rPr>
              <w:t>ASX +security code and description</w:t>
            </w:r>
          </w:p>
        </w:tc>
        <w:tc>
          <w:tcPr>
            <w:tcW w:w="1876" w:type="dxa"/>
            <w:tcBorders/>
            <w:tcMar>
              <w:top w:w="0" w:type="dxa"/>
              <w:left w:w="0" w:type="dxa"/>
              <w:bottom w:w="0" w:type="dxa"/>
              <w:right w:w="0" w:type="dxa"/>
            </w:tcMar>
            <w:vAlign w:val="center"/>
          </w:tcPr>
          <w:p>
            <w:pPr>
              <w:pStyle w:val="TableContents"/>
              <w:bidi w:val="0"/>
              <w:jc w:val="right"/>
              <w:rPr>
                <w:rFonts w:ascii="Arial" w:hAnsi="Arial"/>
                <w:b/>
                <w:color w:val="000000"/>
                <w:sz w:val="18"/>
              </w:rPr>
            </w:pPr>
            <w:r>
              <w:rPr>
                <w:rFonts w:ascii="Arial" w:hAnsi="Arial"/>
                <w:b/>
                <w:color w:val="000000"/>
                <w:sz w:val="18"/>
              </w:rPr>
              <w:t>Total number of</w:t>
            </w:r>
          </w:p>
          <w:p>
            <w:pPr>
              <w:pStyle w:val="TableContents"/>
              <w:bidi w:val="0"/>
              <w:spacing w:before="3" w:after="283"/>
              <w:jc w:val="right"/>
              <w:rPr>
                <w:rFonts w:ascii="Arial" w:hAnsi="Arial"/>
                <w:b/>
                <w:color w:val="000000"/>
                <w:sz w:val="18"/>
              </w:rPr>
            </w:pPr>
            <w:r>
              <w:rPr>
                <w:rFonts w:ascii="Arial" w:hAnsi="Arial"/>
                <w:b/>
                <w:color w:val="000000"/>
                <w:sz w:val="18"/>
              </w:rPr>
              <w:t>+securities on issue</w:t>
            </w:r>
          </w:p>
        </w:tc>
      </w:tr>
      <w:tr>
        <w:trPr/>
        <w:tc>
          <w:tcPr>
            <w:tcW w:w="6425"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25" w:type="dxa"/>
            <w:tcBorders/>
            <w:tcMar>
              <w:top w:w="0" w:type="dxa"/>
              <w:left w:w="0" w:type="dxa"/>
              <w:bottom w:w="0" w:type="dxa"/>
              <w:right w:w="0" w:type="dxa"/>
            </w:tcMar>
            <w:vAlign w:val="center"/>
          </w:tcPr>
          <w:p>
            <w:pPr>
              <w:pStyle w:val="TableContents"/>
              <w:bidi w:val="0"/>
              <w:spacing w:before="0" w:after="283"/>
              <w:ind w:left="0" w:right="0" w:firstLine="619"/>
              <w:jc w:val="left"/>
              <w:rPr>
                <w:rFonts w:ascii="Arial" w:hAnsi="Arial"/>
                <w:color w:val="000000"/>
                <w:sz w:val="18"/>
              </w:rPr>
            </w:pPr>
            <w:r>
              <w:rPr>
                <w:rFonts w:ascii="Arial" w:hAnsi="Arial"/>
                <w:color w:val="000000"/>
                <w:sz w:val="18"/>
              </w:rPr>
              <w:t>NVXAD : PERFORMANCE RIGHTS</w:t>
            </w:r>
          </w:p>
        </w:tc>
        <w:tc>
          <w:tcPr>
            <w:tcW w:w="1876" w:type="dxa"/>
            <w:tcBorders/>
            <w:tcMar>
              <w:top w:w="0" w:type="dxa"/>
              <w:left w:w="0" w:type="dxa"/>
              <w:bottom w:w="0" w:type="dxa"/>
              <w:right w:w="0" w:type="dxa"/>
            </w:tcMar>
            <w:vAlign w:val="center"/>
          </w:tcPr>
          <w:p>
            <w:pPr>
              <w:pStyle w:val="TableContents"/>
              <w:bidi w:val="0"/>
              <w:spacing w:before="0" w:after="283"/>
              <w:ind w:left="0" w:right="0" w:firstLine="619"/>
              <w:jc w:val="right"/>
              <w:rPr>
                <w:rFonts w:ascii="Arial" w:hAnsi="Arial"/>
                <w:color w:val="000000"/>
                <w:sz w:val="18"/>
              </w:rPr>
            </w:pPr>
            <w:r>
              <w:rPr>
                <w:rFonts w:ascii="Arial" w:hAnsi="Arial"/>
                <w:color w:val="000000"/>
                <w:sz w:val="18"/>
              </w:rPr>
              <w:t>21,189,967</w:t>
            </w:r>
          </w:p>
        </w:tc>
      </w:tr>
      <w:tr>
        <w:trPr/>
        <w:tc>
          <w:tcPr>
            <w:tcW w:w="6425" w:type="dxa"/>
            <w:tcBorders/>
            <w:tcMar>
              <w:top w:w="0" w:type="dxa"/>
              <w:left w:w="0" w:type="dxa"/>
              <w:bottom w:w="0" w:type="dxa"/>
              <w:right w:w="0" w:type="dxa"/>
            </w:tcMar>
            <w:vAlign w:val="center"/>
          </w:tcPr>
          <w:p>
            <w:pPr>
              <w:pStyle w:val="TableContents"/>
              <w:bidi w:val="0"/>
              <w:spacing w:before="0" w:after="283"/>
              <w:ind w:left="0" w:right="0" w:firstLine="619"/>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ind w:left="0" w:right="0" w:firstLine="619"/>
              <w:jc w:val="right"/>
              <w:rPr/>
            </w:pPr>
            <w:r>
              <w:rPr/>
              <w:t> </w:t>
            </w:r>
          </w:p>
        </w:tc>
      </w:tr>
      <w:tr>
        <w:trPr/>
        <w:tc>
          <w:tcPr>
            <w:tcW w:w="6425" w:type="dxa"/>
            <w:tcBorders/>
            <w:tcMar>
              <w:top w:w="0" w:type="dxa"/>
              <w:left w:w="0" w:type="dxa"/>
              <w:bottom w:w="0" w:type="dxa"/>
              <w:right w:w="0" w:type="dxa"/>
            </w:tcMar>
            <w:vAlign w:val="center"/>
          </w:tcPr>
          <w:p>
            <w:pPr>
              <w:pStyle w:val="TableContents"/>
              <w:bidi w:val="0"/>
              <w:spacing w:before="0" w:after="283"/>
              <w:ind w:left="0" w:right="0" w:firstLine="619"/>
              <w:jc w:val="left"/>
              <w:rPr>
                <w:rFonts w:ascii="Arial" w:hAnsi="Arial"/>
                <w:color w:val="000000"/>
                <w:sz w:val="18"/>
              </w:rPr>
            </w:pPr>
            <w:r>
              <w:rPr>
                <w:rFonts w:ascii="Arial" w:hAnsi="Arial"/>
                <w:color w:val="000000"/>
                <w:sz w:val="18"/>
              </w:rPr>
              <w:t>NVXAA : OPTION EXPIRING VARIOUS DATES EX VARIOUS PRICES</w:t>
            </w:r>
          </w:p>
        </w:tc>
        <w:tc>
          <w:tcPr>
            <w:tcW w:w="1876" w:type="dxa"/>
            <w:tcBorders/>
            <w:tcMar>
              <w:top w:w="0" w:type="dxa"/>
              <w:left w:w="0" w:type="dxa"/>
              <w:bottom w:w="0" w:type="dxa"/>
              <w:right w:w="0" w:type="dxa"/>
            </w:tcMar>
            <w:vAlign w:val="center"/>
          </w:tcPr>
          <w:p>
            <w:pPr>
              <w:pStyle w:val="TableContents"/>
              <w:bidi w:val="0"/>
              <w:spacing w:before="0" w:after="283"/>
              <w:ind w:left="0" w:right="0" w:firstLine="619"/>
              <w:jc w:val="right"/>
              <w:rPr>
                <w:rFonts w:ascii="Arial" w:hAnsi="Arial"/>
                <w:color w:val="000000"/>
                <w:sz w:val="18"/>
              </w:rPr>
            </w:pPr>
            <w:r>
              <w:rPr>
                <w:rFonts w:ascii="Arial" w:hAnsi="Arial"/>
                <w:color w:val="000000"/>
                <w:sz w:val="18"/>
              </w:rPr>
              <w:t>14,016,667</w:t>
            </w:r>
          </w:p>
        </w:tc>
      </w:tr>
      <w:tr>
        <w:trPr/>
        <w:tc>
          <w:tcPr>
            <w:tcW w:w="6425" w:type="dxa"/>
            <w:tcBorders/>
            <w:tcMar>
              <w:top w:w="0" w:type="dxa"/>
              <w:left w:w="0" w:type="dxa"/>
              <w:bottom w:w="0" w:type="dxa"/>
              <w:right w:w="0" w:type="dxa"/>
            </w:tcMar>
            <w:vAlign w:val="center"/>
          </w:tcPr>
          <w:p>
            <w:pPr>
              <w:pStyle w:val="TableContents"/>
              <w:bidi w:val="0"/>
              <w:spacing w:before="0" w:after="283"/>
              <w:ind w:left="0" w:right="0" w:firstLine="619"/>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ind w:left="0" w:right="0" w:firstLine="619"/>
              <w:jc w:val="right"/>
              <w:rPr/>
            </w:pPr>
            <w:r>
              <w:rPr/>
              <w:t> </w:t>
            </w:r>
          </w:p>
        </w:tc>
      </w:tr>
      <w:tr>
        <w:trPr/>
        <w:tc>
          <w:tcPr>
            <w:tcW w:w="6425" w:type="dxa"/>
            <w:tcBorders/>
            <w:tcMar>
              <w:top w:w="0" w:type="dxa"/>
              <w:left w:w="0" w:type="dxa"/>
              <w:bottom w:w="0" w:type="dxa"/>
              <w:right w:w="0" w:type="dxa"/>
            </w:tcMar>
            <w:vAlign w:val="center"/>
          </w:tcPr>
          <w:p>
            <w:pPr>
              <w:pStyle w:val="TableContents"/>
              <w:bidi w:val="0"/>
              <w:spacing w:before="0" w:after="283"/>
              <w:ind w:left="0" w:right="0" w:firstLine="619"/>
              <w:jc w:val="left"/>
              <w:rPr>
                <w:rFonts w:ascii="Arial" w:hAnsi="Arial"/>
                <w:color w:val="000000"/>
                <w:sz w:val="18"/>
              </w:rPr>
            </w:pPr>
            <w:r>
              <w:rPr>
                <w:rFonts w:ascii="Arial" w:hAnsi="Arial"/>
                <w:color w:val="000000"/>
                <w:sz w:val="18"/>
              </w:rPr>
              <w:t>NVXAM : SHARE RIGHTS</w:t>
            </w:r>
          </w:p>
        </w:tc>
        <w:tc>
          <w:tcPr>
            <w:tcW w:w="1876" w:type="dxa"/>
            <w:tcBorders/>
            <w:tcMar>
              <w:top w:w="0" w:type="dxa"/>
              <w:left w:w="0" w:type="dxa"/>
              <w:bottom w:w="0" w:type="dxa"/>
              <w:right w:w="0" w:type="dxa"/>
            </w:tcMar>
            <w:vAlign w:val="center"/>
          </w:tcPr>
          <w:p>
            <w:pPr>
              <w:pStyle w:val="TableContents"/>
              <w:bidi w:val="0"/>
              <w:spacing w:before="0" w:after="283"/>
              <w:ind w:left="0" w:right="0" w:firstLine="619"/>
              <w:jc w:val="right"/>
              <w:rPr>
                <w:rFonts w:ascii="Arial" w:hAnsi="Arial"/>
                <w:color w:val="000000"/>
                <w:sz w:val="18"/>
              </w:rPr>
            </w:pPr>
            <w:r>
              <w:rPr>
                <w:rFonts w:ascii="Arial" w:hAnsi="Arial"/>
                <w:color w:val="000000"/>
                <w:sz w:val="18"/>
              </w:rPr>
              <w:t>1,371,566</w:t>
            </w:r>
          </w:p>
        </w:tc>
      </w:tr>
      <w:tr>
        <w:trPr/>
        <w:tc>
          <w:tcPr>
            <w:tcW w:w="6425" w:type="dxa"/>
            <w:tcBorders/>
            <w:tcMar>
              <w:top w:w="0" w:type="dxa"/>
              <w:left w:w="0" w:type="dxa"/>
              <w:bottom w:w="0" w:type="dxa"/>
              <w:right w:w="0" w:type="dxa"/>
            </w:tcMar>
            <w:vAlign w:val="center"/>
          </w:tcPr>
          <w:p>
            <w:pPr>
              <w:pStyle w:val="TableContents"/>
              <w:bidi w:val="0"/>
              <w:spacing w:before="0" w:after="283"/>
              <w:ind w:left="0" w:right="0" w:firstLine="619"/>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ind w:left="0" w:right="0" w:firstLine="619"/>
              <w:jc w:val="right"/>
              <w:rPr/>
            </w:pPr>
            <w:r>
              <w:rPr/>
              <w:t> </w:t>
            </w:r>
          </w:p>
        </w:tc>
      </w:tr>
      <w:tr>
        <w:trPr/>
        <w:tc>
          <w:tcPr>
            <w:tcW w:w="6425" w:type="dxa"/>
            <w:tcBorders/>
            <w:tcMar>
              <w:top w:w="0" w:type="dxa"/>
              <w:left w:w="0" w:type="dxa"/>
              <w:bottom w:w="0" w:type="dxa"/>
              <w:right w:w="0" w:type="dxa"/>
            </w:tcMar>
            <w:vAlign w:val="center"/>
          </w:tcPr>
          <w:p>
            <w:pPr>
              <w:pStyle w:val="TableContents"/>
              <w:bidi w:val="0"/>
              <w:spacing w:before="0" w:after="283"/>
              <w:ind w:left="0" w:right="0" w:firstLine="619"/>
              <w:jc w:val="left"/>
              <w:rPr>
                <w:rFonts w:ascii="Arial" w:hAnsi="Arial"/>
                <w:color w:val="000000"/>
                <w:sz w:val="18"/>
              </w:rPr>
            </w:pPr>
            <w:r>
              <w:rPr>
                <w:rFonts w:ascii="Arial" w:hAnsi="Arial"/>
                <w:color w:val="000000"/>
                <w:sz w:val="18"/>
              </w:rPr>
              <w:t>NVXAL : CONVERTIBLE NOTES</w:t>
            </w:r>
          </w:p>
        </w:tc>
        <w:tc>
          <w:tcPr>
            <w:tcW w:w="1876" w:type="dxa"/>
            <w:tcBorders/>
            <w:tcMar>
              <w:top w:w="0" w:type="dxa"/>
              <w:left w:w="0" w:type="dxa"/>
              <w:bottom w:w="0" w:type="dxa"/>
              <w:right w:w="0" w:type="dxa"/>
            </w:tcMar>
            <w:vAlign w:val="center"/>
          </w:tcPr>
          <w:p>
            <w:pPr>
              <w:pStyle w:val="TableContents"/>
              <w:bidi w:val="0"/>
              <w:spacing w:before="0" w:after="283"/>
              <w:ind w:left="0" w:right="0" w:firstLine="619"/>
              <w:jc w:val="right"/>
              <w:rPr>
                <w:rFonts w:ascii="Arial" w:hAnsi="Arial"/>
                <w:color w:val="000000"/>
                <w:sz w:val="18"/>
              </w:rPr>
            </w:pPr>
            <w:r>
              <w:rPr>
                <w:rFonts w:ascii="Arial" w:hAnsi="Arial"/>
                <w:color w:val="000000"/>
                <w:sz w:val="18"/>
              </w:rPr>
              <w:t>45,221,586</w:t>
            </w:r>
          </w:p>
        </w:tc>
      </w:tr>
      <w:tr>
        <w:trPr/>
        <w:tc>
          <w:tcPr>
            <w:tcW w:w="6425" w:type="dxa"/>
            <w:tcBorders/>
            <w:tcMar>
              <w:top w:w="0" w:type="dxa"/>
              <w:left w:w="0" w:type="dxa"/>
              <w:bottom w:w="0" w:type="dxa"/>
              <w:right w:w="0" w:type="dxa"/>
            </w:tcMar>
            <w:vAlign w:val="center"/>
          </w:tcPr>
          <w:p>
            <w:pPr>
              <w:pStyle w:val="TableContents"/>
              <w:bidi w:val="0"/>
              <w:spacing w:before="0" w:after="283"/>
              <w:ind w:left="0" w:right="0" w:firstLine="619"/>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ind w:left="0" w:right="0" w:firstLine="619"/>
              <w:jc w:val="right"/>
              <w:rPr/>
            </w:pPr>
            <w:r>
              <w:rPr/>
              <w:t> </w:t>
            </w:r>
          </w:p>
        </w:tc>
      </w:tr>
      <w:tr>
        <w:trPr/>
        <w:tc>
          <w:tcPr>
            <w:tcW w:w="6425" w:type="dxa"/>
            <w:tcBorders/>
            <w:tcMar>
              <w:top w:w="0" w:type="dxa"/>
              <w:left w:w="0" w:type="dxa"/>
              <w:bottom w:w="0" w:type="dxa"/>
              <w:right w:w="0" w:type="dxa"/>
            </w:tcMar>
            <w:vAlign w:val="center"/>
          </w:tcPr>
          <w:p>
            <w:pPr>
              <w:pStyle w:val="TableContents"/>
              <w:bidi w:val="0"/>
              <w:spacing w:before="0" w:after="283"/>
              <w:ind w:left="0" w:right="0" w:firstLine="619"/>
              <w:jc w:val="left"/>
              <w:rPr>
                <w:rFonts w:ascii="Arial" w:hAnsi="Arial"/>
                <w:color w:val="000000"/>
                <w:sz w:val="18"/>
              </w:rPr>
            </w:pPr>
            <w:r>
              <w:rPr>
                <w:rFonts w:ascii="Arial" w:hAnsi="Arial"/>
                <w:color w:val="000000"/>
                <w:sz w:val="18"/>
              </w:rPr>
              <w:t>NVXAH : CONVERTIBLE DEBENTURES</w:t>
            </w:r>
          </w:p>
        </w:tc>
        <w:tc>
          <w:tcPr>
            <w:tcW w:w="1876" w:type="dxa"/>
            <w:tcBorders/>
            <w:tcMar>
              <w:top w:w="0" w:type="dxa"/>
              <w:left w:w="0" w:type="dxa"/>
              <w:bottom w:w="0" w:type="dxa"/>
              <w:right w:w="0" w:type="dxa"/>
            </w:tcMar>
            <w:vAlign w:val="center"/>
          </w:tcPr>
          <w:p>
            <w:pPr>
              <w:pStyle w:val="TableContents"/>
              <w:bidi w:val="0"/>
              <w:spacing w:before="0" w:after="283"/>
              <w:ind w:left="0" w:right="0" w:firstLine="619"/>
              <w:jc w:val="right"/>
              <w:rPr>
                <w:rFonts w:ascii="Arial" w:hAnsi="Arial"/>
                <w:color w:val="000000"/>
                <w:sz w:val="18"/>
              </w:rPr>
            </w:pPr>
            <w:r>
              <w:rPr>
                <w:rFonts w:ascii="Arial" w:hAnsi="Arial"/>
                <w:color w:val="000000"/>
                <w:sz w:val="18"/>
              </w:rPr>
              <w:t>35,000,000</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4807" w:type="dxa"/>
        <w:jc w:val="left"/>
        <w:tblInd w:w="0" w:type="dxa"/>
        <w:tblLayout w:type="fixed"/>
        <w:tblCellMar>
          <w:top w:w="28" w:type="dxa"/>
          <w:left w:w="28" w:type="dxa"/>
          <w:bottom w:w="28" w:type="dxa"/>
          <w:right w:w="28" w:type="dxa"/>
        </w:tblCellMar>
      </w:tblPr>
      <w:tblGrid>
        <w:gridCol w:w="4341"/>
        <w:gridCol w:w="466"/>
      </w:tblGrid>
      <w:tr>
        <w:trPr/>
        <w:tc>
          <w:tcPr>
            <w:tcW w:w="434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4341" w:type="dxa"/>
            <w:tcBorders>
              <w:top w:val="single" w:sz="4" w:space="0" w:color="7F7F7F"/>
            </w:tcBorders>
            <w:tcMar>
              <w:left w:w="0" w:type="dxa"/>
              <w:bottom w:w="0" w:type="dxa"/>
              <w:right w:w="0" w:type="dxa"/>
            </w:tcMar>
            <w:vAlign w:val="center"/>
          </w:tcPr>
          <w:p>
            <w:pPr>
              <w:pStyle w:val="TableContents"/>
              <w:bidi w:val="0"/>
              <w:spacing w:before="0" w:after="283"/>
              <w:jc w:val="left"/>
              <w:rPr/>
            </w:pPr>
            <w:r>
              <w:rPr/>
              <w:t> </w:t>
            </w:r>
          </w:p>
        </w:tc>
        <w:tc>
          <w:tcPr>
            <w:tcW w:w="466" w:type="dxa"/>
            <w:tcBorders>
              <w:top w:val="single" w:sz="4" w:space="0" w:color="7F7F7F"/>
            </w:tcBorders>
            <w:tcMar>
              <w:left w:w="0" w:type="dxa"/>
              <w:bottom w:w="0" w:type="dxa"/>
              <w:right w:w="0" w:type="dxa"/>
            </w:tcMar>
            <w:vAlign w:val="center"/>
          </w:tcPr>
          <w:p>
            <w:pPr>
              <w:pStyle w:val="TableContents"/>
              <w:bidi w:val="0"/>
              <w:spacing w:before="0" w:after="283"/>
              <w:ind w:left="0" w:right="0" w:firstLine="20"/>
              <w:jc w:val="left"/>
              <w:rPr/>
            </w:pPr>
            <w:r>
              <w:rPr/>
              <w:t> </w:t>
            </w:r>
          </w:p>
        </w:tc>
      </w:tr>
      <w:tr>
        <w:trPr/>
        <w:tc>
          <w:tcPr>
            <w:tcW w:w="4341" w:type="dxa"/>
            <w:tcBorders/>
            <w:tcMar>
              <w:top w:w="0" w:type="dxa"/>
              <w:left w:w="0" w:type="dxa"/>
              <w:bottom w:w="0" w:type="dxa"/>
              <w:right w:w="0" w:type="dxa"/>
            </w:tcMar>
            <w:vAlign w:val="center"/>
          </w:tcPr>
          <w:p>
            <w:pPr>
              <w:pStyle w:val="TableContents"/>
              <w:bidi w:val="0"/>
              <w:spacing w:before="0" w:after="283"/>
              <w:ind w:left="0" w:right="0" w:firstLine="20"/>
              <w:jc w:val="left"/>
              <w:rPr>
                <w:rFonts w:ascii="Arial" w:hAnsi="Arial"/>
                <w:color w:val="000000"/>
                <w:sz w:val="18"/>
              </w:rPr>
            </w:pPr>
            <w:r>
              <w:rPr>
                <w:rFonts w:ascii="Arial" w:hAnsi="Arial"/>
                <w:color w:val="000000"/>
                <w:sz w:val="18"/>
              </w:rPr>
              <w:t>Appendix 2A - Application for quotation of securities</w:t>
            </w:r>
          </w:p>
        </w:tc>
        <w:tc>
          <w:tcPr>
            <w:tcW w:w="4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 / 6</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997</Words>
  <Characters>5330</Characters>
  <CharactersWithSpaces>6343</CharactersWithSpaces>
  <Paragraphs>331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