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6"/>
        </w:rPr>
      </w:pPr>
      <w:bookmarkStart w:id="0" w:name="nvx-6k-oct-22-2026-app3h.htm"/>
      <w:bookmarkStart w:id="1" w:name="ksnvx6koct222026app3h"/>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Washington, D.C. 20549</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6-K</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REPORT OF FOREIGN PRIVATE ISSUER PURSUANT TO RULE 13a-16 OR 15d-16 UNDER THE</w:t>
      </w:r>
    </w:p>
    <w:p>
      <w:pPr>
        <w:pStyle w:val="TextBody"/>
        <w:bidi w:val="0"/>
        <w:jc w:val="center"/>
        <w:rPr>
          <w:rFonts w:ascii="Times New Roman" w:hAnsi="Times New Roman"/>
          <w:b/>
          <w:color w:val="000000"/>
          <w:sz w:val="22"/>
        </w:rPr>
      </w:pPr>
      <w:r>
        <w:rPr>
          <w:rFonts w:ascii="Times New Roman" w:hAnsi="Times New Roman"/>
          <w:b/>
          <w:color w:val="000000"/>
          <w:sz w:val="22"/>
        </w:rPr>
        <w:t>SECURITIES EXCHANGE ACT OF 1934</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For the month of October, 2026</w:t>
      </w:r>
    </w:p>
    <w:p>
      <w:pPr>
        <w:pStyle w:val="TextBody"/>
        <w:bidi w:val="0"/>
        <w:jc w:val="left"/>
        <w:rPr/>
      </w:pPr>
      <w:r>
        <w:rPr/>
        <w:t> </w:t>
      </w:r>
    </w:p>
    <w:tbl>
      <w:tblPr>
        <w:tblW w:w="2648" w:type="dxa"/>
        <w:jc w:val="left"/>
        <w:tblInd w:w="0" w:type="dxa"/>
        <w:tblLayout w:type="fixed"/>
        <w:tblCellMar>
          <w:top w:w="28" w:type="dxa"/>
          <w:left w:w="28" w:type="dxa"/>
          <w:bottom w:w="28" w:type="dxa"/>
          <w:right w:w="28" w:type="dxa"/>
        </w:tblCellMar>
      </w:tblPr>
      <w:tblGrid>
        <w:gridCol w:w="161"/>
        <w:gridCol w:w="22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001-41208</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NOVONIX LIMITED</w:t>
      </w:r>
    </w:p>
    <w:p>
      <w:pPr>
        <w:pStyle w:val="TextBody"/>
        <w:bidi w:val="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Level 38</w:t>
      </w:r>
    </w:p>
    <w:p>
      <w:pPr>
        <w:pStyle w:val="TextBody"/>
        <w:bidi w:val="0"/>
        <w:jc w:val="center"/>
        <w:rPr>
          <w:rFonts w:ascii="Times New Roman" w:hAnsi="Times New Roman"/>
          <w:color w:val="000000"/>
          <w:sz w:val="20"/>
        </w:rPr>
      </w:pPr>
      <w:r>
        <w:rPr>
          <w:rFonts w:ascii="Times New Roman" w:hAnsi="Times New Roman"/>
          <w:color w:val="000000"/>
          <w:sz w:val="20"/>
        </w:rPr>
        <w:t>71 Eagle Street</w:t>
      </w:r>
    </w:p>
    <w:p>
      <w:pPr>
        <w:pStyle w:val="TextBody"/>
        <w:bidi w:val="0"/>
        <w:jc w:val="center"/>
        <w:rPr>
          <w:rFonts w:ascii="Times New Roman" w:hAnsi="Times New Roman"/>
          <w:color w:val="000000"/>
          <w:sz w:val="20"/>
        </w:rPr>
      </w:pPr>
      <w:r>
        <w:rPr>
          <w:rFonts w:ascii="Times New Roman" w:hAnsi="Times New Roman"/>
          <w:color w:val="000000"/>
          <w:sz w:val="20"/>
        </w:rPr>
        <w:t>Brisbane, QLD 4000 Australia</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w:t>
        <w:noBreakHyphen/>
        <w:t>F or Form 40</w:t>
        <w:noBreakHyphen/>
        <w:t>F.</w:t>
      </w:r>
    </w:p>
    <w:p>
      <w:pPr>
        <w:pStyle w:val="TextBody"/>
        <w:bidi w:val="0"/>
        <w:jc w:val="left"/>
        <w:rPr>
          <w:rFonts w:ascii="Times New Roman" w:hAnsi="Times New Roman"/>
          <w:sz w:val="20"/>
        </w:rPr>
      </w:pPr>
      <w:r>
        <w:rPr>
          <w:rFonts w:ascii="Times New Roman" w:hAnsi="Times New Roman"/>
          <w:color w:val="000000"/>
          <w:sz w:val="20"/>
        </w:rPr>
        <w:t xml:space="preserve">Form 20-F </w:t>
      </w:r>
      <w:r>
        <w:rPr>
          <w:rFonts w:ascii="Times New Roman" w:hAnsi="Times New Roman"/>
          <w:sz w:val="20"/>
        </w:rPr>
        <w:t>☒</w:t>
      </w:r>
      <w:r>
        <w:rPr>
          <w:rFonts w:ascii="Times New Roman" w:hAnsi="Times New Roman"/>
          <w:color w:val="000000"/>
          <w:sz w:val="20"/>
        </w:rPr>
        <w:t xml:space="preserve"> Form 40-F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101(b)(1):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101(b)(7): </w:t>
      </w:r>
      <w:r>
        <w:rPr>
          <w:rFonts w:ascii="Times New Roman" w:hAnsi="Times New Roman"/>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7663" w:type="dxa"/>
        <w:jc w:val="left"/>
        <w:tblInd w:w="0" w:type="dxa"/>
        <w:tblLayout w:type="fixed"/>
        <w:tblCellMar>
          <w:top w:w="28" w:type="dxa"/>
          <w:left w:w="28" w:type="dxa"/>
          <w:bottom w:w="28" w:type="dxa"/>
          <w:right w:w="28" w:type="dxa"/>
        </w:tblCellMar>
      </w:tblPr>
      <w:tblGrid>
        <w:gridCol w:w="1141"/>
        <w:gridCol w:w="146"/>
        <w:gridCol w:w="6376"/>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76"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6" w:type="dxa"/>
            <w:tcBorders/>
            <w:tcMar>
              <w:top w:w="0" w:type="dxa"/>
              <w:left w:w="0" w:type="dxa"/>
              <w:bottom w:w="0" w:type="dxa"/>
              <w:right w:w="0" w:type="dxa"/>
            </w:tcMar>
            <w:vAlign w:val="center"/>
          </w:tcPr>
          <w:p>
            <w:pPr>
              <w:pStyle w:val="TableContents"/>
              <w:bidi w:val="0"/>
              <w:spacing w:before="0" w:after="283"/>
              <w:jc w:val="left"/>
              <w:rPr/>
            </w:pPr>
            <w:hyperlink w:anchor="nvx-ex99_1.htm">
              <w:r>
                <w:rPr>
                  <w:rStyle w:val="InternetLink"/>
                  <w:rFonts w:ascii="Times New Roman" w:hAnsi="Times New Roman"/>
                  <w:color w:val="0000FF"/>
                  <w:sz w:val="20"/>
                  <w:u w:val="single"/>
                </w:rPr>
                <w:t>Appendix 3H (Notification of cessation of securities) dated October 22, 2026</w:t>
              </w:r>
            </w:hyperlink>
          </w:p>
        </w:tc>
      </w:tr>
      <w:tr>
        <w:trPr/>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2892" w:type="dxa"/>
        <w:jc w:val="left"/>
        <w:tblInd w:w="0" w:type="dxa"/>
        <w:tblLayout w:type="fixed"/>
        <w:tblCellMar>
          <w:top w:w="28" w:type="dxa"/>
          <w:left w:w="28" w:type="dxa"/>
          <w:bottom w:w="28" w:type="dxa"/>
          <w:right w:w="28" w:type="dxa"/>
        </w:tblCellMar>
      </w:tblPr>
      <w:tblGrid>
        <w:gridCol w:w="491"/>
        <w:gridCol w:w="2401"/>
      </w:tblGrid>
      <w:tr>
        <w:trPr/>
        <w:tc>
          <w:tcPr>
            <w:tcW w:w="491"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2892" w:type="dxa"/>
            <w:gridSpan w:val="2"/>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NOVONIX LIMITED</w:t>
            </w:r>
          </w:p>
          <w:p>
            <w:pPr>
              <w:pStyle w:val="TableContents"/>
              <w:bidi w:val="0"/>
              <w:jc w:val="left"/>
              <w:rPr/>
            </w:pPr>
            <w:r>
              <w:rPr/>
              <w:t> </w:t>
            </w:r>
          </w:p>
          <w:p>
            <w:pPr>
              <w:pStyle w:val="TableContents"/>
              <w:bidi w:val="0"/>
              <w:spacing w:before="0" w:after="283"/>
              <w:jc w:val="left"/>
              <w:rPr/>
            </w:pPr>
            <w:r>
              <w:rPr/>
              <w:t> </w:t>
            </w:r>
          </w:p>
        </w:tc>
      </w:tr>
      <w:tr>
        <w:trPr/>
        <w:tc>
          <w:tcPr>
            <w:tcW w:w="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01" w:type="dxa"/>
            <w:tcBorders>
              <w:bottom w:val="single" w:sz="4" w:space="0" w:color="000000"/>
            </w:tcBorders>
            <w:tcMar>
              <w:top w:w="0" w:type="dxa"/>
              <w:left w:w="0" w:type="dxa"/>
              <w:right w:w="0" w:type="dxa"/>
            </w:tcMar>
            <w:vAlign w:val="center"/>
          </w:tcPr>
          <w:p>
            <w:pPr>
              <w:pStyle w:val="TableContents"/>
              <w:bidi w:val="0"/>
              <w:spacing w:before="0" w:after="283"/>
              <w:ind w:left="0" w:right="0" w:firstLine="330"/>
              <w:jc w:val="left"/>
              <w:rPr>
                <w:rFonts w:ascii="Times New Roman" w:hAnsi="Times New Roman"/>
                <w:color w:val="000000"/>
                <w:sz w:val="20"/>
              </w:rPr>
            </w:pPr>
            <w:r>
              <w:rPr>
                <w:rFonts w:ascii="Times New Roman" w:hAnsi="Times New Roman"/>
                <w:color w:val="000000"/>
                <w:sz w:val="20"/>
              </w:rPr>
              <w:t>/s/ Mike O'Kronley</w:t>
            </w:r>
          </w:p>
        </w:tc>
      </w:tr>
      <w:tr>
        <w:trPr/>
        <w:tc>
          <w:tcPr>
            <w:tcW w:w="491" w:type="dxa"/>
            <w:tcBorders/>
            <w:tcMar>
              <w:top w:w="0" w:type="dxa"/>
              <w:left w:w="0" w:type="dxa"/>
              <w:bottom w:w="0" w:type="dxa"/>
              <w:right w:w="0" w:type="dxa"/>
            </w:tcMar>
            <w:vAlign w:val="center"/>
          </w:tcPr>
          <w:p>
            <w:pPr>
              <w:pStyle w:val="TableContents"/>
              <w:bidi w:val="0"/>
              <w:spacing w:before="0" w:after="283"/>
              <w:ind w:left="0" w:right="0" w:firstLine="330"/>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Mike O'Kronley</w:t>
            </w:r>
          </w:p>
        </w:tc>
      </w:tr>
      <w:tr>
        <w:trPr/>
        <w:tc>
          <w:tcPr>
            <w:tcW w:w="491" w:type="dxa"/>
            <w:tcBorders/>
            <w:tcMar>
              <w:top w:w="0" w:type="dxa"/>
              <w:left w:w="0" w:type="dxa"/>
              <w:bottom w:w="0" w:type="dxa"/>
              <w:right w:w="0" w:type="dxa"/>
            </w:tcMar>
            <w:vAlign w:val="center"/>
          </w:tcPr>
          <w:p>
            <w:pPr>
              <w:pStyle w:val="TableContents"/>
              <w:bidi w:val="0"/>
              <w:spacing w:before="0" w:after="283"/>
              <w:ind w:left="0" w:right="0" w:firstLine="330"/>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ind w:left="0" w:right="0" w:firstLine="330"/>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October 22,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nvx-ex99_1.htm"/>
      <w:bookmarkStart w:id="3" w:name="ksnvxex99_1"/>
      <w:bookmarkEnd w:id="2"/>
      <w:bookmarkEnd w:id="3"/>
      <w:r>
        <w:rPr/>
        <w:t> </w:t>
      </w:r>
      <w:r>
        <w:br w:type="page"/>
      </w:r>
    </w:p>
    <w:tbl>
      <w:tblPr>
        <w:tblW w:w="4826" w:type="dxa"/>
        <w:jc w:val="left"/>
        <w:tblInd w:w="0" w:type="dxa"/>
        <w:tblLayout w:type="fixed"/>
        <w:tblCellMar>
          <w:top w:w="28" w:type="dxa"/>
          <w:left w:w="28" w:type="dxa"/>
          <w:bottom w:w="28" w:type="dxa"/>
          <w:right w:w="28" w:type="dxa"/>
        </w:tblCellMar>
      </w:tblPr>
      <w:tblGrid>
        <w:gridCol w:w="491"/>
        <w:gridCol w:w="4335"/>
      </w:tblGrid>
      <w:tr>
        <w:trPr/>
        <w:tc>
          <w:tcPr>
            <w:tcW w:w="491" w:type="dxa"/>
            <w:tcBorders/>
            <w:vAlign w:val="center"/>
          </w:tcPr>
          <w:p>
            <w:pPr>
              <w:pStyle w:val="TableContents"/>
              <w:bidi w:val="0"/>
              <w:spacing w:before="0" w:after="283"/>
              <w:jc w:val="left"/>
              <w:rPr>
                <w:sz w:val="4"/>
                <w:szCs w:val="4"/>
              </w:rPr>
            </w:pPr>
            <w:r>
              <w:rPr>
                <w:sz w:val="4"/>
                <w:szCs w:val="4"/>
              </w:rPr>
            </w:r>
          </w:p>
        </w:tc>
        <w:tc>
          <w:tcPr>
            <w:tcW w:w="4335" w:type="dxa"/>
            <w:tcBorders/>
            <w:vAlign w:val="center"/>
          </w:tcPr>
          <w:p>
            <w:pPr>
              <w:pStyle w:val="TableContents"/>
              <w:bidi w:val="0"/>
              <w:spacing w:before="0" w:after="283"/>
              <w:jc w:val="left"/>
              <w:rPr>
                <w:sz w:val="4"/>
                <w:szCs w:val="4"/>
              </w:rPr>
            </w:pPr>
            <w:r>
              <w:rPr>
                <w:sz w:val="4"/>
                <w:szCs w:val="4"/>
              </w:rPr>
            </w:r>
          </w:p>
        </w:tc>
      </w:tr>
      <w:tr>
        <w:trPr/>
        <w:tc>
          <w:tcPr>
            <w:tcW w:w="491" w:type="dxa"/>
            <w:tcBorders>
              <w:bottom w:val="single" w:sz="4" w:space="0" w:color="999999"/>
            </w:tcBorders>
            <w:tcMar>
              <w:top w:w="0" w:type="dxa"/>
              <w:left w:w="0" w:type="dxa"/>
              <w:right w:w="0" w:type="dxa"/>
            </w:tcMar>
            <w:vAlign w:val="center"/>
          </w:tcPr>
          <w:p>
            <w:pPr>
              <w:pStyle w:val="TableContents"/>
              <w:bidi w:val="0"/>
              <w:jc w:val="left"/>
              <w:rPr/>
            </w:pPr>
            <w:r>
              <w:rPr/>
              <w:drawing>
                <wp:inline distT="0" distB="0" distL="0" distR="0">
                  <wp:extent cx="247650"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 cy="266700"/>
                          </a:xfrm>
                          <a:prstGeom prst="rect">
                            <a:avLst/>
                          </a:prstGeom>
                        </pic:spPr>
                      </pic:pic>
                    </a:graphicData>
                  </a:graphic>
                </wp:inline>
              </w:drawing>
            </w:r>
          </w:p>
          <w:p>
            <w:pPr>
              <w:pStyle w:val="TableContents"/>
              <w:bidi w:val="0"/>
              <w:spacing w:before="0" w:after="283"/>
              <w:ind w:left="0" w:right="0" w:firstLine="14"/>
              <w:jc w:val="left"/>
              <w:rPr/>
            </w:pPr>
            <w:r>
              <w:rPr/>
              <w:t> </w:t>
            </w:r>
          </w:p>
        </w:tc>
        <w:tc>
          <w:tcPr>
            <w:tcW w:w="4335" w:type="dxa"/>
            <w:tcBorders>
              <w:bottom w:val="single" w:sz="4" w:space="0" w:color="999999"/>
            </w:tcBorders>
            <w:tcMar>
              <w:top w:w="0" w:type="dxa"/>
              <w:left w:w="0" w:type="dxa"/>
              <w:right w:w="0" w:type="dxa"/>
            </w:tcMar>
            <w:vAlign w:val="center"/>
          </w:tcPr>
          <w:p>
            <w:pPr>
              <w:pStyle w:val="TableContents"/>
              <w:bidi w:val="0"/>
              <w:ind w:left="0" w:right="0" w:firstLine="14"/>
              <w:jc w:val="left"/>
              <w:rPr>
                <w:rFonts w:ascii="Arial" w:hAnsi="Arial"/>
                <w:color w:val="000000"/>
                <w:sz w:val="18"/>
              </w:rPr>
            </w:pPr>
            <w:r>
              <w:rPr>
                <w:rFonts w:ascii="Arial" w:hAnsi="Arial"/>
                <w:color w:val="000000"/>
                <w:sz w:val="18"/>
              </w:rPr>
              <w:t>Appendix 3H - Notification of cessation of securities</w:t>
            </w:r>
          </w:p>
          <w:p>
            <w:pPr>
              <w:pStyle w:val="TableContents"/>
              <w:bidi w:val="0"/>
              <w:spacing w:before="0" w:after="283"/>
              <w:ind w:left="0" w:right="0" w:firstLine="14"/>
              <w:jc w:val="left"/>
              <w:rPr/>
            </w:pPr>
            <w:r>
              <w:rPr/>
              <w:t> </w:t>
            </w:r>
          </w:p>
        </w:tc>
      </w:tr>
    </w:tbl>
    <w:p>
      <w:pPr>
        <w:pStyle w:val="TextBody"/>
        <w:bidi w:val="0"/>
        <w:jc w:val="left"/>
        <w:rPr/>
      </w:pPr>
      <w:r>
        <w:rPr/>
        <w:t> </w:t>
      </w:r>
    </w:p>
    <w:p>
      <w:pPr>
        <w:pStyle w:val="TextBody"/>
        <w:bidi w:val="0"/>
        <w:spacing w:before="7" w:after="283"/>
        <w:jc w:val="right"/>
        <w:rPr>
          <w:rFonts w:ascii="Times New Roman" w:hAnsi="Times New Roman"/>
          <w:color w:val="000000"/>
          <w:sz w:val="25"/>
        </w:rPr>
      </w:pPr>
      <w:r>
        <w:rPr>
          <w:rFonts w:ascii="Times New Roman" w:hAnsi="Times New Roman"/>
          <w:color w:val="000000"/>
          <w:sz w:val="25"/>
        </w:rPr>
        <w:t>EXHIBIT 99.1</w:t>
      </w:r>
    </w:p>
    <w:p>
      <w:pPr>
        <w:pStyle w:val="TextBody"/>
        <w:bidi w:val="0"/>
        <w:spacing w:before="94" w:after="283"/>
        <w:jc w:val="left"/>
        <w:rPr>
          <w:rFonts w:ascii="Arial" w:hAnsi="Arial"/>
          <w:color w:val="000000"/>
          <w:sz w:val="18"/>
        </w:rPr>
      </w:pPr>
      <w:r>
        <w:rPr>
          <w:rFonts w:ascii="Arial" w:hAnsi="Arial"/>
          <w:color w:val="000000"/>
          <w:sz w:val="18"/>
        </w:rPr>
        <w:t>Announcement Summary</w:t>
      </w:r>
    </w:p>
    <w:p>
      <w:pPr>
        <w:pStyle w:val="TextBody"/>
        <w:bidi w:val="0"/>
        <w:spacing w:before="4" w:after="283"/>
        <w:jc w:val="left"/>
        <w:rPr/>
      </w:pPr>
      <w:r>
        <w:rPr/>
        <w:t> </w:t>
      </w:r>
    </w:p>
    <w:p>
      <w:pPr>
        <w:pStyle w:val="TextBody"/>
        <w:pBdr>
          <w:top w:val="single" w:sz="6" w:space="1" w:color="0C3A6C"/>
        </w:pBdr>
        <w:bidi w:val="0"/>
        <w:spacing w:before="8" w:after="283"/>
        <w:jc w:val="left"/>
        <w:rPr/>
      </w:pPr>
      <w:r>
        <w:rPr/>
        <w:t> </w:t>
      </w:r>
    </w:p>
    <w:p>
      <w:pPr>
        <w:pStyle w:val="Heading1"/>
        <w:bidi w:val="0"/>
        <w:spacing w:before="2" w:after="283"/>
        <w:jc w:val="left"/>
        <w:rPr>
          <w:rFonts w:ascii="Arial" w:hAnsi="Arial"/>
          <w:color w:val="000000"/>
          <w:sz w:val="18"/>
        </w:rPr>
      </w:pPr>
      <w:r>
        <w:rPr>
          <w:rFonts w:ascii="Arial" w:hAnsi="Arial"/>
          <w:color w:val="000000"/>
          <w:sz w:val="18"/>
        </w:rPr>
        <w:t>Entity name</w:t>
      </w:r>
    </w:p>
    <w:p>
      <w:pPr>
        <w:pStyle w:val="TextBody"/>
        <w:bidi w:val="0"/>
        <w:spacing w:before="104" w:after="283"/>
        <w:jc w:val="left"/>
        <w:rPr>
          <w:rFonts w:ascii="Arial" w:hAnsi="Arial"/>
          <w:color w:val="000000"/>
          <w:sz w:val="18"/>
        </w:rPr>
      </w:pPr>
      <w:r>
        <w:rPr>
          <w:rFonts w:ascii="Arial" w:hAnsi="Arial"/>
          <w:color w:val="000000"/>
          <w:sz w:val="18"/>
        </w:rPr>
        <w:t>NOVONIX LIMITED</w:t>
      </w:r>
    </w:p>
    <w:p>
      <w:pPr>
        <w:pStyle w:val="Heading1"/>
        <w:bidi w:val="0"/>
        <w:spacing w:before="154" w:after="283"/>
        <w:jc w:val="left"/>
        <w:rPr>
          <w:rFonts w:ascii="Arial" w:hAnsi="Arial"/>
          <w:color w:val="000000"/>
          <w:sz w:val="18"/>
        </w:rPr>
      </w:pPr>
      <w:r>
        <w:rPr>
          <w:rFonts w:ascii="Arial" w:hAnsi="Arial"/>
          <w:color w:val="000000"/>
          <w:sz w:val="18"/>
        </w:rPr>
        <w:t>Announcement Type</w:t>
      </w:r>
    </w:p>
    <w:p>
      <w:pPr>
        <w:pStyle w:val="TextBody"/>
        <w:bidi w:val="0"/>
        <w:spacing w:before="106" w:after="283"/>
        <w:jc w:val="left"/>
        <w:rPr>
          <w:rFonts w:ascii="Arial" w:hAnsi="Arial"/>
          <w:color w:val="000000"/>
          <w:sz w:val="18"/>
        </w:rPr>
      </w:pPr>
      <w:r>
        <w:rPr>
          <w:rFonts w:ascii="Arial" w:hAnsi="Arial"/>
          <w:color w:val="000000"/>
          <w:sz w:val="18"/>
        </w:rPr>
        <w:t>New announcement</w:t>
      </w:r>
    </w:p>
    <w:p>
      <w:pPr>
        <w:pStyle w:val="Heading1"/>
        <w:bidi w:val="0"/>
        <w:spacing w:before="153" w:after="283"/>
        <w:jc w:val="left"/>
        <w:rPr>
          <w:rFonts w:ascii="Arial" w:hAnsi="Arial"/>
          <w:color w:val="000000"/>
          <w:sz w:val="18"/>
        </w:rPr>
      </w:pPr>
      <w:r>
        <w:rPr>
          <w:rFonts w:ascii="Arial" w:hAnsi="Arial"/>
          <w:color w:val="000000"/>
          <w:sz w:val="18"/>
        </w:rPr>
        <w:t>Date of this announcement</w:t>
      </w:r>
    </w:p>
    <w:p>
      <w:pPr>
        <w:pStyle w:val="TextBody"/>
        <w:bidi w:val="0"/>
        <w:spacing w:before="84" w:after="283"/>
        <w:jc w:val="left"/>
        <w:rPr>
          <w:rFonts w:ascii="Arial" w:hAnsi="Arial"/>
          <w:color w:val="000000"/>
          <w:sz w:val="18"/>
        </w:rPr>
      </w:pPr>
      <w:r>
        <w:rPr>
          <w:rFonts w:ascii="Arial" w:hAnsi="Arial"/>
          <w:color w:val="000000"/>
          <w:sz w:val="18"/>
        </w:rPr>
        <w:t>Thursday October 22, 2026</w:t>
      </w:r>
    </w:p>
    <w:p>
      <w:pPr>
        <w:pStyle w:val="TextBody"/>
        <w:bidi w:val="0"/>
        <w:spacing w:before="8" w:after="283"/>
        <w:jc w:val="left"/>
        <w:rPr/>
      </w:pPr>
      <w:r>
        <w:rPr/>
        <w:t> </w:t>
      </w:r>
    </w:p>
    <w:p>
      <w:pPr>
        <w:pStyle w:val="Heading1"/>
        <w:bidi w:val="0"/>
        <w:spacing w:before="1" w:after="283"/>
        <w:jc w:val="left"/>
        <w:rPr>
          <w:rFonts w:ascii="Arial" w:hAnsi="Arial"/>
          <w:color w:val="000000"/>
          <w:sz w:val="18"/>
        </w:rPr>
      </w:pPr>
      <w:r>
        <w:rPr>
          <w:rFonts w:ascii="Arial" w:hAnsi="Arial"/>
          <w:color w:val="000000"/>
          <w:sz w:val="18"/>
        </w:rPr>
        <w:t>Details of +securities that have ceased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164"/>
        <w:gridCol w:w="2145"/>
        <w:gridCol w:w="1458"/>
        <w:gridCol w:w="4231"/>
        <w:gridCol w:w="1046"/>
      </w:tblGrid>
      <w:tr>
        <w:trPr/>
        <w:tc>
          <w:tcPr>
            <w:tcW w:w="16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4231"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pPr>
            <w:r>
              <w:rPr/>
              <w:t> </w:t>
            </w:r>
          </w:p>
        </w:tc>
        <w:tc>
          <w:tcPr>
            <w:tcW w:w="1164"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4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58"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Number of</w:t>
            </w:r>
          </w:p>
        </w:tc>
        <w:tc>
          <w:tcPr>
            <w:tcW w:w="423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046" w:type="dxa"/>
            <w:tcBorders>
              <w:top w:val="single" w:sz="4" w:space="0" w:color="000000"/>
              <w:right w:val="single" w:sz="4" w:space="0" w:color="000000"/>
            </w:tcBorders>
            <w:tcMar>
              <w:left w:w="0" w:type="dxa"/>
              <w:bottom w:w="0" w:type="dxa"/>
            </w:tcMar>
            <w:vAlign w:val="center"/>
          </w:tcPr>
          <w:p>
            <w:pPr>
              <w:pStyle w:val="TableContents"/>
              <w:bidi w:val="0"/>
              <w:spacing w:before="0" w:after="283"/>
              <w:jc w:val="left"/>
              <w:rPr/>
            </w:pPr>
            <w:r>
              <w:rPr/>
              <w:t> </w:t>
            </w:r>
          </w:p>
        </w:tc>
      </w:tr>
      <w:tr>
        <w:trPr/>
        <w:tc>
          <w:tcPr>
            <w:tcW w:w="161" w:type="dxa"/>
            <w:tcBorders>
              <w:left w:val="single" w:sz="4" w:space="0" w:color="000000"/>
            </w:tcBorders>
            <w:tcMar>
              <w:top w:w="0" w:type="dxa"/>
              <w:bottom w:w="0" w:type="dxa"/>
              <w:right w:w="0" w:type="dxa"/>
            </w:tcMar>
            <w:vAlign w:val="center"/>
          </w:tcPr>
          <w:p>
            <w:pPr>
              <w:pStyle w:val="TableContents"/>
              <w:bidi w:val="0"/>
              <w:spacing w:before="0" w:after="283"/>
              <w:jc w:val="left"/>
              <w:rPr/>
            </w:pPr>
            <w:r>
              <w:rPr/>
              <w:t> </w:t>
            </w:r>
          </w:p>
        </w:tc>
        <w:tc>
          <w:tcPr>
            <w:tcW w:w="116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ASX +security</w:t>
            </w:r>
          </w:p>
        </w:tc>
        <w:tc>
          <w:tcPr>
            <w:tcW w:w="21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58" w:type="dxa"/>
            <w:tcBorders/>
            <w:tcMar>
              <w:top w:w="0" w:type="dxa"/>
              <w:left w:w="0" w:type="dxa"/>
              <w:bottom w:w="0" w:type="dxa"/>
              <w:right w:w="0" w:type="dxa"/>
            </w:tcMar>
            <w:vAlign w:val="center"/>
          </w:tcPr>
          <w:p>
            <w:pPr>
              <w:pStyle w:val="TableContents"/>
              <w:bidi w:val="0"/>
              <w:spacing w:before="0" w:after="283"/>
              <w:ind w:left="0" w:right="0" w:firstLine="144"/>
              <w:jc w:val="right"/>
              <w:rPr>
                <w:rFonts w:ascii="Arial" w:hAnsi="Arial"/>
                <w:sz w:val="18"/>
              </w:rPr>
            </w:pPr>
            <w:r>
              <w:rPr>
                <w:rFonts w:ascii="Arial" w:hAnsi="Arial"/>
                <w:b/>
                <w:color w:val="000000"/>
                <w:sz w:val="18"/>
              </w:rPr>
              <w:t>+securities that</w:t>
            </w:r>
            <w:r>
              <w:rPr>
                <w:rFonts w:ascii="Arial" w:hAnsi="Arial"/>
                <w:color w:val="000000"/>
                <w:sz w:val="18"/>
              </w:rPr>
              <w:t xml:space="preserve"> </w:t>
            </w:r>
          </w:p>
        </w:tc>
        <w:tc>
          <w:tcPr>
            <w:tcW w:w="4231" w:type="dxa"/>
            <w:tcBorders/>
            <w:tcMar>
              <w:top w:w="0" w:type="dxa"/>
              <w:left w:w="0" w:type="dxa"/>
              <w:bottom w:w="0" w:type="dxa"/>
              <w:right w:w="0" w:type="dxa"/>
            </w:tcMar>
            <w:vAlign w:val="center"/>
          </w:tcPr>
          <w:p>
            <w:pPr>
              <w:pStyle w:val="TableContents"/>
              <w:bidi w:val="0"/>
              <w:spacing w:before="0" w:after="283"/>
              <w:ind w:left="0" w:right="0" w:firstLine="144"/>
              <w:jc w:val="left"/>
              <w:rPr>
                <w:rFonts w:ascii="Arial" w:hAnsi="Arial"/>
                <w:sz w:val="18"/>
              </w:rPr>
            </w:pPr>
            <w:r>
              <w:rPr>
                <w:rFonts w:ascii="Arial" w:hAnsi="Arial"/>
                <w:b/>
                <w:color w:val="000000"/>
                <w:sz w:val="18"/>
              </w:rPr>
              <w:t>The +securities have</w:t>
            </w:r>
            <w:r>
              <w:rPr>
                <w:rFonts w:ascii="Arial" w:hAnsi="Arial"/>
                <w:color w:val="000000"/>
                <w:sz w:val="18"/>
              </w:rPr>
              <w:t xml:space="preserve"> </w:t>
            </w:r>
          </w:p>
        </w:tc>
        <w:tc>
          <w:tcPr>
            <w:tcW w:w="1046" w:type="dxa"/>
            <w:tcBorders>
              <w:right w:val="single" w:sz="4" w:space="0" w:color="000000"/>
            </w:tcBorders>
            <w:tcMar>
              <w:top w:w="0" w:type="dxa"/>
              <w:left w:w="0" w:type="dxa"/>
              <w:bottom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Date of</w:t>
            </w:r>
          </w:p>
        </w:tc>
      </w:tr>
      <w:tr>
        <w:trPr/>
        <w:tc>
          <w:tcPr>
            <w:tcW w:w="161" w:type="dxa"/>
            <w:tcBorders>
              <w:left w:val="single" w:sz="4" w:space="0" w:color="000000"/>
            </w:tcBorders>
            <w:tcMar>
              <w:top w:w="0" w:type="dxa"/>
              <w:bottom w:w="0" w:type="dxa"/>
              <w:right w:w="0" w:type="dxa"/>
            </w:tcMar>
            <w:vAlign w:val="center"/>
          </w:tcPr>
          <w:p>
            <w:pPr>
              <w:pStyle w:val="TableContents"/>
              <w:bidi w:val="0"/>
              <w:spacing w:before="0" w:after="283"/>
              <w:jc w:val="left"/>
              <w:rPr/>
            </w:pPr>
            <w:r>
              <w:rPr/>
              <w:t> </w:t>
            </w:r>
          </w:p>
        </w:tc>
        <w:tc>
          <w:tcPr>
            <w:tcW w:w="116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code</w:t>
            </w:r>
          </w:p>
        </w:tc>
        <w:tc>
          <w:tcPr>
            <w:tcW w:w="2145" w:type="dxa"/>
            <w:tcBorders/>
            <w:tcMar>
              <w:top w:w="0" w:type="dxa"/>
              <w:left w:w="0" w:type="dxa"/>
              <w:bottom w:w="0" w:type="dxa"/>
              <w:right w:w="0" w:type="dxa"/>
            </w:tcMar>
            <w:vAlign w:val="center"/>
          </w:tcPr>
          <w:p>
            <w:pPr>
              <w:pStyle w:val="TableContents"/>
              <w:bidi w:val="0"/>
              <w:spacing w:before="0" w:after="283"/>
              <w:ind w:left="0" w:right="0" w:firstLine="144"/>
              <w:jc w:val="left"/>
              <w:rPr>
                <w:rFonts w:ascii="Arial" w:hAnsi="Arial"/>
                <w:b/>
                <w:color w:val="000000"/>
                <w:sz w:val="18"/>
              </w:rPr>
            </w:pPr>
            <w:r>
              <w:rPr>
                <w:rFonts w:ascii="Arial" w:hAnsi="Arial"/>
                <w:b/>
                <w:color w:val="000000"/>
                <w:sz w:val="18"/>
              </w:rPr>
              <w:t>Security description</w:t>
            </w:r>
          </w:p>
        </w:tc>
        <w:tc>
          <w:tcPr>
            <w:tcW w:w="1458" w:type="dxa"/>
            <w:tcBorders/>
            <w:tcMar>
              <w:top w:w="0" w:type="dxa"/>
              <w:left w:w="0" w:type="dxa"/>
              <w:bottom w:w="0" w:type="dxa"/>
              <w:right w:w="0" w:type="dxa"/>
            </w:tcMar>
            <w:vAlign w:val="center"/>
          </w:tcPr>
          <w:p>
            <w:pPr>
              <w:pStyle w:val="TableContents"/>
              <w:bidi w:val="0"/>
              <w:spacing w:before="0" w:after="283"/>
              <w:ind w:left="0" w:right="0" w:firstLine="144"/>
              <w:jc w:val="right"/>
              <w:rPr>
                <w:rFonts w:ascii="Arial" w:hAnsi="Arial"/>
                <w:sz w:val="18"/>
              </w:rPr>
            </w:pPr>
            <w:r>
              <w:rPr>
                <w:rFonts w:ascii="Arial" w:hAnsi="Arial"/>
                <w:b/>
                <w:color w:val="000000"/>
                <w:sz w:val="18"/>
              </w:rPr>
              <w:t>have ceased</w:t>
            </w:r>
            <w:r>
              <w:rPr>
                <w:rFonts w:ascii="Arial" w:hAnsi="Arial"/>
                <w:color w:val="000000"/>
                <w:sz w:val="18"/>
              </w:rPr>
              <w:t xml:space="preserve"> </w:t>
            </w:r>
          </w:p>
        </w:tc>
        <w:tc>
          <w:tcPr>
            <w:tcW w:w="4231" w:type="dxa"/>
            <w:tcBorders/>
            <w:tcMar>
              <w:top w:w="0" w:type="dxa"/>
              <w:left w:w="0" w:type="dxa"/>
              <w:bottom w:w="0" w:type="dxa"/>
              <w:right w:w="0" w:type="dxa"/>
            </w:tcMar>
            <w:vAlign w:val="center"/>
          </w:tcPr>
          <w:p>
            <w:pPr>
              <w:pStyle w:val="TableContents"/>
              <w:bidi w:val="0"/>
              <w:spacing w:before="0" w:after="283"/>
              <w:ind w:left="0" w:right="0" w:firstLine="144"/>
              <w:jc w:val="left"/>
              <w:rPr>
                <w:rFonts w:ascii="Arial" w:hAnsi="Arial"/>
                <w:b/>
                <w:color w:val="000000"/>
                <w:sz w:val="18"/>
              </w:rPr>
            </w:pPr>
            <w:r>
              <w:rPr>
                <w:rFonts w:ascii="Arial" w:hAnsi="Arial"/>
                <w:b/>
                <w:color w:val="000000"/>
                <w:sz w:val="18"/>
              </w:rPr>
              <w:t>ceased due to</w:t>
            </w:r>
          </w:p>
        </w:tc>
        <w:tc>
          <w:tcPr>
            <w:tcW w:w="1046" w:type="dxa"/>
            <w:tcBorders>
              <w:right w:val="single" w:sz="4" w:space="0" w:color="000000"/>
            </w:tcBorders>
            <w:tcMar>
              <w:top w:w="0" w:type="dxa"/>
              <w:left w:w="0" w:type="dxa"/>
              <w:bottom w:w="0" w:type="dxa"/>
            </w:tcMar>
            <w:vAlign w:val="center"/>
          </w:tcPr>
          <w:p>
            <w:pPr>
              <w:pStyle w:val="TableContents"/>
              <w:bidi w:val="0"/>
              <w:jc w:val="left"/>
              <w:rPr>
                <w:rFonts w:ascii="Arial" w:hAnsi="Arial"/>
                <w:b/>
                <w:color w:val="000000"/>
                <w:sz w:val="18"/>
              </w:rPr>
            </w:pPr>
            <w:r>
              <w:rPr>
                <w:rFonts w:ascii="Arial" w:hAnsi="Arial"/>
                <w:b/>
                <w:color w:val="000000"/>
                <w:sz w:val="18"/>
              </w:rPr>
              <w:t>cessation</w:t>
            </w:r>
          </w:p>
          <w:p>
            <w:pPr>
              <w:pStyle w:val="TableContents"/>
              <w:bidi w:val="0"/>
              <w:spacing w:before="0" w:after="283"/>
              <w:jc w:val="left"/>
              <w:rPr/>
            </w:pPr>
            <w:r>
              <w:rPr/>
              <w:t> </w:t>
            </w:r>
          </w:p>
        </w:tc>
      </w:tr>
      <w:tr>
        <w:trPr/>
        <w:tc>
          <w:tcPr>
            <w:tcW w:w="161" w:type="dxa"/>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pPr>
            <w:r>
              <w:rPr/>
              <w:t> </w:t>
            </w:r>
          </w:p>
        </w:tc>
        <w:tc>
          <w:tcPr>
            <w:tcW w:w="116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NVXAH</w:t>
            </w:r>
          </w:p>
        </w:tc>
        <w:tc>
          <w:tcPr>
            <w:tcW w:w="214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CONVERTIBLE DEBENTURES</w:t>
            </w:r>
          </w:p>
        </w:tc>
        <w:tc>
          <w:tcPr>
            <w:tcW w:w="1458" w:type="dxa"/>
            <w:tcBorders>
              <w:bottom w:val="single" w:sz="4" w:space="0" w:color="000000"/>
            </w:tcBorders>
            <w:tcMar>
              <w:top w:w="0" w:type="dxa"/>
              <w:left w:w="0" w:type="dxa"/>
              <w:right w:w="0" w:type="dxa"/>
            </w:tcMar>
            <w:vAlign w:val="center"/>
          </w:tcPr>
          <w:p>
            <w:pPr>
              <w:pStyle w:val="TableContents"/>
              <w:bidi w:val="0"/>
              <w:spacing w:before="0" w:after="283"/>
              <w:ind w:left="0" w:right="0" w:firstLine="144"/>
              <w:jc w:val="right"/>
              <w:rPr>
                <w:rFonts w:ascii="Arial" w:hAnsi="Arial"/>
                <w:color w:val="000000"/>
                <w:sz w:val="18"/>
              </w:rPr>
            </w:pPr>
            <w:r>
              <w:rPr>
                <w:rFonts w:ascii="Arial" w:hAnsi="Arial"/>
                <w:color w:val="000000"/>
                <w:sz w:val="18"/>
              </w:rPr>
              <w:t>7,000,000</w:t>
            </w:r>
          </w:p>
        </w:tc>
        <w:tc>
          <w:tcPr>
            <w:tcW w:w="4231" w:type="dxa"/>
            <w:tcBorders>
              <w:bottom w:val="single" w:sz="4" w:space="0" w:color="000000"/>
            </w:tcBorders>
            <w:tcMar>
              <w:top w:w="0" w:type="dxa"/>
              <w:left w:w="0" w:type="dxa"/>
              <w:right w:w="0" w:type="dxa"/>
            </w:tcMar>
            <w:vAlign w:val="center"/>
          </w:tcPr>
          <w:p>
            <w:pPr>
              <w:pStyle w:val="TableContents"/>
              <w:bidi w:val="0"/>
              <w:ind w:left="0" w:right="0" w:firstLine="144"/>
              <w:jc w:val="left"/>
              <w:rPr>
                <w:rFonts w:ascii="Arial" w:hAnsi="Arial"/>
                <w:color w:val="000000"/>
                <w:sz w:val="18"/>
              </w:rPr>
            </w:pPr>
            <w:r>
              <w:rPr>
                <w:rFonts w:ascii="Arial" w:hAnsi="Arial"/>
                <w:color w:val="000000"/>
                <w:sz w:val="18"/>
              </w:rPr>
              <w:t>Repayment or redemption of +convertible debt security without conversion</w:t>
            </w:r>
          </w:p>
          <w:p>
            <w:pPr>
              <w:pStyle w:val="TableContents"/>
              <w:bidi w:val="0"/>
              <w:spacing w:before="0" w:after="283"/>
              <w:ind w:left="0" w:right="0" w:firstLine="144"/>
              <w:jc w:val="left"/>
              <w:rPr/>
            </w:pPr>
            <w:r>
              <w:rPr/>
              <w:t> </w:t>
            </w:r>
          </w:p>
        </w:tc>
        <w:tc>
          <w:tcPr>
            <w:tcW w:w="10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22/10/2026</w:t>
            </w:r>
          </w:p>
        </w:tc>
      </w:tr>
    </w:tbl>
    <w:p>
      <w:pPr>
        <w:pStyle w:val="TextBody"/>
        <w:bidi w:val="0"/>
        <w:spacing w:before="8" w:after="283"/>
        <w:jc w:val="left"/>
        <w:rPr/>
      </w:pPr>
      <w:r>
        <w:rPr/>
        <w:t> </w:t>
      </w:r>
    </w:p>
    <w:p>
      <w:pPr>
        <w:pStyle w:val="TextBody"/>
        <w:bidi w:val="0"/>
        <w:jc w:val="left"/>
        <w:rPr>
          <w:rFonts w:ascii="Arial" w:hAnsi="Arial"/>
          <w:color w:val="000000"/>
          <w:sz w:val="18"/>
        </w:rPr>
      </w:pPr>
      <w:r>
        <w:rPr>
          <w:rFonts w:ascii="Arial" w:hAnsi="Arial"/>
          <w:color w:val="000000"/>
          <w:sz w:val="18"/>
        </w:rPr>
        <w:t>Refer to next page for full details of the announcement</w:t>
      </w:r>
    </w:p>
    <w:p>
      <w:pPr>
        <w:pStyle w:val="TextBody"/>
        <w:bidi w:val="0"/>
        <w:jc w:val="left"/>
        <w:rPr/>
      </w:pPr>
      <w:r>
        <w:rPr/>
        <w:t> </w:t>
      </w:r>
    </w:p>
    <w:tbl>
      <w:tblPr>
        <w:tblW w:w="4757" w:type="dxa"/>
        <w:jc w:val="left"/>
        <w:tblInd w:w="0" w:type="dxa"/>
        <w:tblLayout w:type="fixed"/>
        <w:tblCellMar>
          <w:top w:w="28" w:type="dxa"/>
          <w:left w:w="28" w:type="dxa"/>
          <w:bottom w:w="28" w:type="dxa"/>
          <w:right w:w="28" w:type="dxa"/>
        </w:tblCellMar>
      </w:tblPr>
      <w:tblGrid>
        <w:gridCol w:w="4291"/>
        <w:gridCol w:w="466"/>
      </w:tblGrid>
      <w:tr>
        <w:trPr/>
        <w:tc>
          <w:tcPr>
            <w:tcW w:w="429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4291" w:type="dxa"/>
            <w:tcBorders>
              <w:top w:val="single" w:sz="4" w:space="0" w:color="999999"/>
            </w:tcBorders>
            <w:tcMar>
              <w:left w:w="0" w:type="dxa"/>
              <w:bottom w:w="0" w:type="dxa"/>
              <w:right w:w="0" w:type="dxa"/>
            </w:tcMar>
            <w:vAlign w:val="center"/>
          </w:tcPr>
          <w:p>
            <w:pPr>
              <w:pStyle w:val="TableContents"/>
              <w:bidi w:val="0"/>
              <w:spacing w:before="14" w:after="283"/>
              <w:jc w:val="left"/>
              <w:rPr/>
            </w:pPr>
            <w:r>
              <w:rPr/>
              <w:t> </w:t>
            </w:r>
          </w:p>
          <w:p>
            <w:pPr>
              <w:pStyle w:val="TableContents"/>
              <w:bidi w:val="0"/>
              <w:spacing w:before="14" w:after="283"/>
              <w:jc w:val="left"/>
              <w:rPr>
                <w:rFonts w:ascii="Arial" w:hAnsi="Arial"/>
                <w:color w:val="000000"/>
                <w:sz w:val="18"/>
              </w:rPr>
            </w:pPr>
            <w:r>
              <w:rPr>
                <w:rFonts w:ascii="Arial" w:hAnsi="Arial"/>
                <w:color w:val="000000"/>
                <w:sz w:val="18"/>
              </w:rPr>
              <w:t>Appendix 3H - Notification of cessation of securities</w:t>
            </w:r>
          </w:p>
        </w:tc>
        <w:tc>
          <w:tcPr>
            <w:tcW w:w="466" w:type="dxa"/>
            <w:tcBorders>
              <w:top w:val="single" w:sz="4" w:space="0" w:color="999999"/>
            </w:tcBorders>
            <w:tcMar>
              <w:left w:w="0" w:type="dxa"/>
              <w:bottom w:w="0" w:type="dxa"/>
              <w:right w:w="0" w:type="dxa"/>
            </w:tcMar>
            <w:vAlign w:val="center"/>
          </w:tcPr>
          <w:p>
            <w:pPr>
              <w:pStyle w:val="TableContents"/>
              <w:bidi w:val="0"/>
              <w:spacing w:before="12" w:after="283"/>
              <w:jc w:val="right"/>
              <w:rPr>
                <w:rFonts w:ascii="Arial" w:hAnsi="Arial"/>
                <w:color w:val="000000"/>
                <w:sz w:val="17"/>
              </w:rPr>
            </w:pPr>
            <w:r>
              <w:rPr>
                <w:rFonts w:ascii="Arial" w:hAnsi="Arial"/>
                <w:color w:val="000000"/>
                <w:sz w:val="17"/>
              </w:rPr>
              <w:t>1 / 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826" w:type="dxa"/>
        <w:jc w:val="left"/>
        <w:tblInd w:w="0" w:type="dxa"/>
        <w:tblLayout w:type="fixed"/>
        <w:tblCellMar>
          <w:top w:w="28" w:type="dxa"/>
          <w:left w:w="28" w:type="dxa"/>
          <w:bottom w:w="28" w:type="dxa"/>
          <w:right w:w="28" w:type="dxa"/>
        </w:tblCellMar>
      </w:tblPr>
      <w:tblGrid>
        <w:gridCol w:w="491"/>
        <w:gridCol w:w="4335"/>
      </w:tblGrid>
      <w:tr>
        <w:trPr/>
        <w:tc>
          <w:tcPr>
            <w:tcW w:w="491" w:type="dxa"/>
            <w:tcBorders/>
            <w:vAlign w:val="center"/>
          </w:tcPr>
          <w:p>
            <w:pPr>
              <w:pStyle w:val="TableContents"/>
              <w:bidi w:val="0"/>
              <w:spacing w:before="0" w:after="283"/>
              <w:jc w:val="left"/>
              <w:rPr>
                <w:sz w:val="4"/>
                <w:szCs w:val="4"/>
              </w:rPr>
            </w:pPr>
            <w:r>
              <w:rPr>
                <w:sz w:val="4"/>
                <w:szCs w:val="4"/>
              </w:rPr>
            </w:r>
          </w:p>
        </w:tc>
        <w:tc>
          <w:tcPr>
            <w:tcW w:w="4335" w:type="dxa"/>
            <w:tcBorders/>
            <w:vAlign w:val="center"/>
          </w:tcPr>
          <w:p>
            <w:pPr>
              <w:pStyle w:val="TableContents"/>
              <w:bidi w:val="0"/>
              <w:spacing w:before="0" w:after="283"/>
              <w:jc w:val="left"/>
              <w:rPr>
                <w:sz w:val="4"/>
                <w:szCs w:val="4"/>
              </w:rPr>
            </w:pPr>
            <w:r>
              <w:rPr>
                <w:sz w:val="4"/>
                <w:szCs w:val="4"/>
              </w:rPr>
            </w:r>
          </w:p>
        </w:tc>
      </w:tr>
      <w:tr>
        <w:trPr/>
        <w:tc>
          <w:tcPr>
            <w:tcW w:w="491" w:type="dxa"/>
            <w:tcBorders>
              <w:bottom w:val="single" w:sz="4" w:space="0" w:color="999999"/>
            </w:tcBorders>
            <w:tcMar>
              <w:top w:w="0" w:type="dxa"/>
              <w:left w:w="0" w:type="dxa"/>
              <w:right w:w="0" w:type="dxa"/>
            </w:tcMar>
            <w:vAlign w:val="center"/>
          </w:tcPr>
          <w:p>
            <w:pPr>
              <w:pStyle w:val="TableContents"/>
              <w:bidi w:val="0"/>
              <w:jc w:val="left"/>
              <w:rPr/>
            </w:pPr>
            <w:r>
              <w:rPr/>
              <w:drawing>
                <wp:inline distT="0" distB="0" distL="0" distR="0">
                  <wp:extent cx="247650" cy="266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7650" cy="266700"/>
                          </a:xfrm>
                          <a:prstGeom prst="rect">
                            <a:avLst/>
                          </a:prstGeom>
                        </pic:spPr>
                      </pic:pic>
                    </a:graphicData>
                  </a:graphic>
                </wp:inline>
              </w:drawing>
            </w:r>
          </w:p>
          <w:p>
            <w:pPr>
              <w:pStyle w:val="TableContents"/>
              <w:bidi w:val="0"/>
              <w:spacing w:before="0" w:after="283"/>
              <w:ind w:left="0" w:right="0" w:firstLine="14"/>
              <w:jc w:val="left"/>
              <w:rPr/>
            </w:pPr>
            <w:r>
              <w:rPr/>
              <w:t> </w:t>
            </w:r>
          </w:p>
        </w:tc>
        <w:tc>
          <w:tcPr>
            <w:tcW w:w="4335" w:type="dxa"/>
            <w:tcBorders>
              <w:bottom w:val="single" w:sz="4" w:space="0" w:color="999999"/>
            </w:tcBorders>
            <w:tcMar>
              <w:top w:w="0" w:type="dxa"/>
              <w:left w:w="0" w:type="dxa"/>
              <w:right w:w="0" w:type="dxa"/>
            </w:tcMar>
            <w:vAlign w:val="center"/>
          </w:tcPr>
          <w:p>
            <w:pPr>
              <w:pStyle w:val="TableContents"/>
              <w:bidi w:val="0"/>
              <w:ind w:left="0" w:right="0" w:firstLine="14"/>
              <w:jc w:val="left"/>
              <w:rPr>
                <w:rFonts w:ascii="Arial" w:hAnsi="Arial"/>
                <w:color w:val="000000"/>
                <w:sz w:val="18"/>
              </w:rPr>
            </w:pPr>
            <w:r>
              <w:rPr>
                <w:rFonts w:ascii="Arial" w:hAnsi="Arial"/>
                <w:color w:val="000000"/>
                <w:sz w:val="18"/>
              </w:rPr>
              <w:t>Appendix 3H - Notification of cessation of securities</w:t>
            </w:r>
          </w:p>
          <w:p>
            <w:pPr>
              <w:pStyle w:val="TableContents"/>
              <w:bidi w:val="0"/>
              <w:spacing w:before="0" w:after="283"/>
              <w:ind w:left="0" w:right="0" w:firstLine="14"/>
              <w:jc w:val="left"/>
              <w:rPr/>
            </w:pPr>
            <w:r>
              <w:rPr/>
              <w:t> </w:t>
            </w:r>
          </w:p>
        </w:tc>
      </w:tr>
    </w:tbl>
    <w:p>
      <w:pPr>
        <w:pStyle w:val="TextBody"/>
        <w:bidi w:val="0"/>
        <w:jc w:val="left"/>
        <w:rPr/>
      </w:pPr>
      <w:r>
        <w:rPr/>
        <w:t> </w:t>
      </w:r>
    </w:p>
    <w:p>
      <w:pPr>
        <w:pStyle w:val="TextBody"/>
        <w:bidi w:val="0"/>
        <w:spacing w:before="84" w:after="283"/>
        <w:jc w:val="left"/>
        <w:rPr>
          <w:rFonts w:ascii="Arial" w:hAnsi="Arial"/>
          <w:color w:val="000000"/>
          <w:sz w:val="18"/>
        </w:rPr>
      </w:pPr>
      <w:r>
        <w:rPr>
          <w:rFonts w:ascii="Arial" w:hAnsi="Arial"/>
          <w:color w:val="000000"/>
          <w:sz w:val="18"/>
        </w:rPr>
        <w:t>Part 1 - Announcement Details</w:t>
      </w:r>
    </w:p>
    <w:p>
      <w:pPr>
        <w:pStyle w:val="TextBody"/>
        <w:bidi w:val="0"/>
        <w:spacing w:before="4" w:after="283"/>
        <w:jc w:val="left"/>
        <w:rPr/>
      </w:pPr>
      <w:r>
        <w:rPr/>
        <w:t> </w:t>
      </w:r>
    </w:p>
    <w:p>
      <w:pPr>
        <w:pStyle w:val="TextBody"/>
        <w:pBdr>
          <w:top w:val="single" w:sz="6" w:space="1" w:color="0C3A6C"/>
        </w:pBdr>
        <w:bidi w:val="0"/>
        <w:jc w:val="left"/>
        <w:rPr/>
      </w:pPr>
      <w:r>
        <w:rPr/>
        <w:t> </w:t>
      </w:r>
    </w:p>
    <w:p>
      <w:pPr>
        <w:pStyle w:val="TextBody"/>
        <w:bidi w:val="0"/>
        <w:jc w:val="left"/>
        <w:rPr/>
      </w:pPr>
      <w:r>
        <w:rPr/>
        <w:t> </w:t>
      </w:r>
    </w:p>
    <w:p>
      <w:pPr>
        <w:pStyle w:val="TextBody"/>
        <w:bidi w:val="0"/>
        <w:spacing w:before="133" w:after="283"/>
        <w:jc w:val="left"/>
        <w:rPr>
          <w:rFonts w:ascii="Arial" w:hAnsi="Arial"/>
          <w:b/>
          <w:color w:val="000000"/>
          <w:sz w:val="18"/>
        </w:rPr>
      </w:pPr>
      <w:r>
        <w:rPr>
          <w:rFonts w:ascii="Arial" w:hAnsi="Arial"/>
          <w:b/>
          <w:color w:val="000000"/>
          <w:sz w:val="18"/>
        </w:rPr>
        <w:t>1.1 Name of +Entity</w:t>
      </w:r>
    </w:p>
    <w:p>
      <w:pPr>
        <w:pStyle w:val="TextBody"/>
        <w:bidi w:val="0"/>
        <w:spacing w:before="105" w:after="283"/>
        <w:jc w:val="left"/>
        <w:rPr>
          <w:rFonts w:ascii="Arial" w:hAnsi="Arial"/>
          <w:color w:val="000000"/>
          <w:sz w:val="18"/>
        </w:rPr>
      </w:pPr>
      <w:r>
        <w:rPr>
          <w:rFonts w:ascii="Arial" w:hAnsi="Arial"/>
          <w:color w:val="000000"/>
          <w:sz w:val="18"/>
        </w:rPr>
        <w:t>NOVONIX LIMITED</w:t>
      </w:r>
    </w:p>
    <w:p>
      <w:pPr>
        <w:pStyle w:val="TextBody"/>
        <w:bidi w:val="0"/>
        <w:spacing w:before="150" w:after="283"/>
        <w:jc w:val="left"/>
        <w:rPr>
          <w:rFonts w:ascii="Arial" w:hAnsi="Arial"/>
          <w:color w:val="000000"/>
          <w:sz w:val="18"/>
        </w:rPr>
      </w:pPr>
      <w:r>
        <w:rPr>
          <w:rFonts w:ascii="Arial" w:hAnsi="Arial"/>
          <w:color w:val="000000"/>
          <w:sz w:val="18"/>
        </w:rPr>
        <w:t>We (the entity named above) provide the following information about our issued capital.</w:t>
      </w:r>
    </w:p>
    <w:tbl>
      <w:tblPr>
        <w:tblW w:w="4652" w:type="dxa"/>
        <w:jc w:val="left"/>
        <w:tblInd w:w="0" w:type="dxa"/>
        <w:tblLayout w:type="fixed"/>
        <w:tblCellMar>
          <w:top w:w="28" w:type="dxa"/>
          <w:left w:w="28" w:type="dxa"/>
          <w:bottom w:w="28" w:type="dxa"/>
          <w:right w:w="28" w:type="dxa"/>
        </w:tblCellMar>
      </w:tblPr>
      <w:tblGrid>
        <w:gridCol w:w="2716"/>
        <w:gridCol w:w="1936"/>
      </w:tblGrid>
      <w:tr>
        <w:trPr/>
        <w:tc>
          <w:tcPr>
            <w:tcW w:w="271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2716" w:type="dxa"/>
            <w:tcBorders/>
            <w:tcMar>
              <w:top w:w="0" w:type="dxa"/>
              <w:left w:w="0" w:type="dxa"/>
              <w:bottom w:w="0" w:type="dxa"/>
              <w:right w:w="0" w:type="dxa"/>
            </w:tcMar>
            <w:vAlign w:val="center"/>
          </w:tcPr>
          <w:p>
            <w:pPr>
              <w:pStyle w:val="TableContents"/>
              <w:bidi w:val="0"/>
              <w:spacing w:before="90" w:after="283"/>
              <w:jc w:val="left"/>
              <w:rPr>
                <w:rFonts w:ascii="Arial" w:hAnsi="Arial"/>
                <w:b/>
                <w:color w:val="000000"/>
                <w:sz w:val="18"/>
              </w:rPr>
            </w:pPr>
            <w:r>
              <w:rPr>
                <w:rFonts w:ascii="Arial" w:hAnsi="Arial"/>
                <w:b/>
                <w:color w:val="000000"/>
                <w:sz w:val="18"/>
              </w:rPr>
              <w:t>1.2 Registered Number Type</w:t>
            </w:r>
          </w:p>
        </w:tc>
        <w:tc>
          <w:tcPr>
            <w:tcW w:w="1936" w:type="dxa"/>
            <w:tcBorders/>
            <w:tcMar>
              <w:top w:w="0" w:type="dxa"/>
              <w:left w:w="0" w:type="dxa"/>
              <w:bottom w:w="0" w:type="dxa"/>
              <w:right w:w="0" w:type="dxa"/>
            </w:tcMar>
            <w:vAlign w:val="center"/>
          </w:tcPr>
          <w:p>
            <w:pPr>
              <w:pStyle w:val="TableContents"/>
              <w:bidi w:val="0"/>
              <w:spacing w:before="90" w:after="283"/>
              <w:jc w:val="left"/>
              <w:rPr>
                <w:rFonts w:ascii="Arial" w:hAnsi="Arial"/>
                <w:b/>
                <w:color w:val="000000"/>
                <w:sz w:val="18"/>
              </w:rPr>
            </w:pPr>
            <w:r>
              <w:rPr>
                <w:rFonts w:ascii="Arial" w:hAnsi="Arial"/>
                <w:b/>
                <w:color w:val="000000"/>
                <w:sz w:val="18"/>
              </w:rPr>
              <w:t>Registration Number</w:t>
            </w:r>
          </w:p>
        </w:tc>
      </w:tr>
      <w:tr>
        <w:trPr/>
        <w:tc>
          <w:tcPr>
            <w:tcW w:w="2716" w:type="dxa"/>
            <w:tcBorders/>
            <w:tcMar>
              <w:top w:w="0" w:type="dxa"/>
              <w:left w:w="0" w:type="dxa"/>
              <w:bottom w:w="0" w:type="dxa"/>
              <w:right w:w="0" w:type="dxa"/>
            </w:tcMar>
            <w:vAlign w:val="center"/>
          </w:tcPr>
          <w:p>
            <w:pPr>
              <w:pStyle w:val="TableContents"/>
              <w:bidi w:val="0"/>
              <w:spacing w:before="105" w:after="283"/>
              <w:jc w:val="left"/>
              <w:rPr>
                <w:rFonts w:ascii="Arial" w:hAnsi="Arial"/>
                <w:color w:val="000000"/>
                <w:sz w:val="18"/>
              </w:rPr>
            </w:pPr>
            <w:r>
              <w:rPr>
                <w:rFonts w:ascii="Arial" w:hAnsi="Arial"/>
                <w:color w:val="000000"/>
                <w:sz w:val="18"/>
              </w:rPr>
              <w:t>ABN</w:t>
            </w:r>
          </w:p>
        </w:tc>
        <w:tc>
          <w:tcPr>
            <w:tcW w:w="1936" w:type="dxa"/>
            <w:tcBorders/>
            <w:tcMar>
              <w:top w:w="0" w:type="dxa"/>
              <w:left w:w="0" w:type="dxa"/>
              <w:bottom w:w="0" w:type="dxa"/>
              <w:right w:w="0" w:type="dxa"/>
            </w:tcMar>
            <w:vAlign w:val="center"/>
          </w:tcPr>
          <w:p>
            <w:pPr>
              <w:pStyle w:val="TableContents"/>
              <w:bidi w:val="0"/>
              <w:spacing w:before="105" w:after="283"/>
              <w:jc w:val="left"/>
              <w:rPr>
                <w:rFonts w:ascii="Arial" w:hAnsi="Arial"/>
                <w:color w:val="000000"/>
                <w:sz w:val="18"/>
              </w:rPr>
            </w:pPr>
            <w:r>
              <w:rPr>
                <w:rFonts w:ascii="Arial" w:hAnsi="Arial"/>
                <w:color w:val="000000"/>
                <w:sz w:val="18"/>
              </w:rPr>
              <w:t>54157690830</w:t>
            </w:r>
          </w:p>
        </w:tc>
      </w:tr>
      <w:tr>
        <w:trPr/>
        <w:tc>
          <w:tcPr>
            <w:tcW w:w="2716" w:type="dxa"/>
            <w:tcBorders/>
            <w:tcMar>
              <w:top w:w="0" w:type="dxa"/>
              <w:left w:w="0" w:type="dxa"/>
              <w:bottom w:w="0" w:type="dxa"/>
              <w:right w:w="0" w:type="dxa"/>
            </w:tcMar>
            <w:vAlign w:val="center"/>
          </w:tcPr>
          <w:p>
            <w:pPr>
              <w:pStyle w:val="TableContents"/>
              <w:bidi w:val="0"/>
              <w:spacing w:before="12" w:after="283"/>
              <w:jc w:val="left"/>
              <w:rPr/>
            </w:pPr>
            <w:r>
              <w:rPr/>
              <w:t> </w:t>
            </w:r>
          </w:p>
        </w:tc>
        <w:tc>
          <w:tcPr>
            <w:tcW w:w="1936" w:type="dxa"/>
            <w:tcBorders/>
            <w:tcMar>
              <w:top w:w="0" w:type="dxa"/>
              <w:left w:w="0" w:type="dxa"/>
              <w:bottom w:w="0" w:type="dxa"/>
              <w:right w:w="0" w:type="dxa"/>
            </w:tcMar>
            <w:vAlign w:val="center"/>
          </w:tcPr>
          <w:p>
            <w:pPr>
              <w:pStyle w:val="TableContents"/>
              <w:bidi w:val="0"/>
              <w:spacing w:before="12" w:after="283"/>
              <w:jc w:val="left"/>
              <w:rPr/>
            </w:pPr>
            <w:r>
              <w:rPr/>
              <w:t> </w:t>
            </w:r>
          </w:p>
        </w:tc>
      </w:tr>
      <w:tr>
        <w:trPr/>
        <w:tc>
          <w:tcPr>
            <w:tcW w:w="2716" w:type="dxa"/>
            <w:tcBorders/>
            <w:tcMar>
              <w:top w:w="0" w:type="dxa"/>
              <w:left w:w="0" w:type="dxa"/>
              <w:bottom w:w="0" w:type="dxa"/>
              <w:right w:w="0" w:type="dxa"/>
            </w:tcMar>
            <w:vAlign w:val="center"/>
          </w:tcPr>
          <w:p>
            <w:pPr>
              <w:pStyle w:val="TableContents"/>
              <w:bidi w:val="0"/>
              <w:spacing w:before="12" w:after="283"/>
              <w:jc w:val="left"/>
              <w:rPr/>
            </w:pPr>
            <w:r>
              <w:rPr/>
              <w:t> </w:t>
            </w:r>
          </w:p>
        </w:tc>
        <w:tc>
          <w:tcPr>
            <w:tcW w:w="1936" w:type="dxa"/>
            <w:tcBorders/>
            <w:tcMar>
              <w:top w:w="0" w:type="dxa"/>
              <w:left w:w="0" w:type="dxa"/>
              <w:bottom w:w="0" w:type="dxa"/>
              <w:right w:w="0" w:type="dxa"/>
            </w:tcMar>
            <w:vAlign w:val="center"/>
          </w:tcPr>
          <w:p>
            <w:pPr>
              <w:pStyle w:val="TableContents"/>
              <w:bidi w:val="0"/>
              <w:spacing w:before="12" w:after="283"/>
              <w:jc w:val="left"/>
              <w:rPr/>
            </w:pPr>
            <w:r>
              <w:rPr/>
              <w:t> </w:t>
            </w:r>
          </w:p>
        </w:tc>
      </w:tr>
      <w:tr>
        <w:trPr/>
        <w:tc>
          <w:tcPr>
            <w:tcW w:w="2716" w:type="dxa"/>
            <w:tcBorders/>
            <w:tcMar>
              <w:top w:w="0" w:type="dxa"/>
              <w:left w:w="0" w:type="dxa"/>
              <w:bottom w:w="0" w:type="dxa"/>
              <w:right w:w="0" w:type="dxa"/>
            </w:tcMar>
            <w:vAlign w:val="center"/>
          </w:tcPr>
          <w:p>
            <w:pPr>
              <w:pStyle w:val="TableContents"/>
              <w:bidi w:val="0"/>
              <w:spacing w:before="94" w:after="283"/>
              <w:jc w:val="left"/>
              <w:rPr>
                <w:rFonts w:ascii="Arial" w:hAnsi="Arial"/>
                <w:b/>
                <w:color w:val="000000"/>
                <w:sz w:val="18"/>
              </w:rPr>
            </w:pPr>
            <w:r>
              <w:rPr>
                <w:rFonts w:ascii="Arial" w:hAnsi="Arial"/>
                <w:b/>
                <w:color w:val="000000"/>
                <w:sz w:val="18"/>
              </w:rPr>
              <w:t>1.3 ASX issuer code</w:t>
            </w:r>
          </w:p>
          <w:p>
            <w:pPr>
              <w:pStyle w:val="TableContents"/>
              <w:bidi w:val="0"/>
              <w:spacing w:before="105" w:after="283"/>
              <w:jc w:val="left"/>
              <w:rPr>
                <w:rFonts w:ascii="Arial" w:hAnsi="Arial"/>
                <w:color w:val="000000"/>
                <w:sz w:val="18"/>
              </w:rPr>
            </w:pPr>
            <w:r>
              <w:rPr>
                <w:rFonts w:ascii="Arial" w:hAnsi="Arial"/>
                <w:color w:val="000000"/>
                <w:sz w:val="18"/>
              </w:rPr>
              <w:t>NVX</w:t>
            </w:r>
          </w:p>
        </w:tc>
        <w:tc>
          <w:tcPr>
            <w:tcW w:w="1936" w:type="dxa"/>
            <w:tcBorders/>
            <w:tcMar>
              <w:top w:w="0" w:type="dxa"/>
              <w:left w:w="0" w:type="dxa"/>
              <w:bottom w:w="0" w:type="dxa"/>
              <w:right w:w="0" w:type="dxa"/>
            </w:tcMar>
            <w:vAlign w:val="center"/>
          </w:tcPr>
          <w:p>
            <w:pPr>
              <w:pStyle w:val="TableContents"/>
              <w:bidi w:val="0"/>
              <w:spacing w:before="105" w:after="283"/>
              <w:jc w:val="left"/>
              <w:rPr/>
            </w:pPr>
            <w:r>
              <w:rPr/>
              <w:t> </w:t>
            </w:r>
          </w:p>
        </w:tc>
      </w:tr>
      <w:tr>
        <w:trPr/>
        <w:tc>
          <w:tcPr>
            <w:tcW w:w="2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tcMar>
              <w:top w:w="0" w:type="dxa"/>
              <w:left w:w="0" w:type="dxa"/>
              <w:bottom w:w="0" w:type="dxa"/>
              <w:right w:w="0" w:type="dxa"/>
            </w:tcMar>
            <w:vAlign w:val="center"/>
          </w:tcPr>
          <w:p>
            <w:pPr>
              <w:pStyle w:val="TableContents"/>
              <w:bidi w:val="0"/>
              <w:jc w:val="left"/>
              <w:rPr>
                <w:rFonts w:ascii="Arial" w:hAnsi="Arial"/>
                <w:b/>
                <w:color w:val="000000"/>
                <w:sz w:val="18"/>
              </w:rPr>
            </w:pPr>
            <w:r>
              <w:rPr>
                <w:rFonts w:ascii="Arial" w:hAnsi="Arial"/>
                <w:b/>
                <w:color w:val="000000"/>
                <w:sz w:val="18"/>
              </w:rPr>
              <w:t>1.4 The announcement is</w:t>
            </w:r>
          </w:p>
          <w:p>
            <w:pPr>
              <w:pStyle w:val="TableContents"/>
              <w:bidi w:val="0"/>
              <w:spacing w:before="0" w:after="283"/>
              <w:jc w:val="left"/>
              <w:rPr>
                <w:rFonts w:ascii="Arial" w:hAnsi="Arial"/>
                <w:color w:val="000000"/>
                <w:sz w:val="18"/>
              </w:rPr>
            </w:pPr>
            <w:r>
              <w:rPr>
                <w:rFonts w:ascii="Arial" w:hAnsi="Arial"/>
                <w:color w:val="000000"/>
                <w:sz w:val="18"/>
              </w:rPr>
              <w:t>New announcement</w:t>
            </w:r>
          </w:p>
        </w:tc>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tcMar>
              <w:top w:w="0" w:type="dxa"/>
              <w:left w:w="0" w:type="dxa"/>
              <w:bottom w:w="0" w:type="dxa"/>
              <w:right w:w="0" w:type="dxa"/>
            </w:tcMar>
            <w:vAlign w:val="center"/>
          </w:tcPr>
          <w:p>
            <w:pPr>
              <w:pStyle w:val="TableContents"/>
              <w:bidi w:val="0"/>
              <w:spacing w:before="48" w:after="283"/>
              <w:jc w:val="left"/>
              <w:rPr>
                <w:rFonts w:ascii="Arial" w:hAnsi="Arial"/>
                <w:b/>
                <w:color w:val="000000"/>
                <w:sz w:val="18"/>
              </w:rPr>
            </w:pPr>
            <w:r>
              <w:rPr>
                <w:rFonts w:ascii="Arial" w:hAnsi="Arial"/>
                <w:b/>
                <w:color w:val="000000"/>
                <w:sz w:val="18"/>
              </w:rPr>
              <w:t>1.5 Date of this announcement</w:t>
            </w:r>
          </w:p>
          <w:p>
            <w:pPr>
              <w:pStyle w:val="TableContents"/>
              <w:bidi w:val="0"/>
              <w:spacing w:before="105" w:after="283"/>
              <w:jc w:val="left"/>
              <w:rPr>
                <w:rFonts w:ascii="Arial" w:hAnsi="Arial"/>
                <w:color w:val="000000"/>
                <w:sz w:val="18"/>
              </w:rPr>
            </w:pPr>
            <w:r>
              <w:rPr>
                <w:rFonts w:ascii="Arial" w:hAnsi="Arial"/>
                <w:color w:val="000000"/>
                <w:sz w:val="18"/>
              </w:rPr>
              <w:t>22/10/2026</w:t>
            </w:r>
          </w:p>
          <w:p>
            <w:pPr>
              <w:pStyle w:val="TableContents"/>
              <w:bidi w:val="0"/>
              <w:spacing w:before="0" w:after="283"/>
              <w:jc w:val="left"/>
              <w:rPr/>
            </w:pPr>
            <w:r>
              <w:rPr/>
              <w:t> </w:t>
            </w:r>
          </w:p>
        </w:tc>
        <w:tc>
          <w:tcPr>
            <w:tcW w:w="1936" w:type="dxa"/>
            <w:tcBorders/>
            <w:tcMar>
              <w:top w:w="0" w:type="dxa"/>
              <w:left w:w="0" w:type="dxa"/>
              <w:bottom w:w="0" w:type="dxa"/>
              <w:right w:w="0" w:type="dxa"/>
            </w:tcMar>
            <w:vAlign w:val="center"/>
          </w:tcPr>
          <w:p>
            <w:pPr>
              <w:pStyle w:val="TableContents"/>
              <w:bidi w:val="0"/>
              <w:spacing w:before="105" w:after="283"/>
              <w:jc w:val="left"/>
              <w:rPr/>
            </w:pPr>
            <w:r>
              <w:rPr/>
              <w:t> </w:t>
            </w:r>
          </w:p>
        </w:tc>
      </w:tr>
    </w:tbl>
    <w:p>
      <w:pPr>
        <w:pStyle w:val="TextBody"/>
        <w:bidi w:val="0"/>
        <w:spacing w:before="90" w:after="283"/>
        <w:jc w:val="left"/>
        <w:rPr/>
      </w:pPr>
      <w:r>
        <w:rPr/>
        <w:t> </w:t>
      </w:r>
    </w:p>
    <w:p>
      <w:pPr>
        <w:pStyle w:val="TextBody"/>
        <w:bidi w:val="0"/>
        <w:jc w:val="left"/>
        <w:rPr/>
      </w:pPr>
      <w:r>
        <w:rPr/>
        <w:t> </w:t>
      </w:r>
    </w:p>
    <w:tbl>
      <w:tblPr>
        <w:tblW w:w="4757" w:type="dxa"/>
        <w:jc w:val="left"/>
        <w:tblInd w:w="0" w:type="dxa"/>
        <w:tblLayout w:type="fixed"/>
        <w:tblCellMar>
          <w:top w:w="28" w:type="dxa"/>
          <w:left w:w="28" w:type="dxa"/>
          <w:bottom w:w="28" w:type="dxa"/>
          <w:right w:w="28" w:type="dxa"/>
        </w:tblCellMar>
      </w:tblPr>
      <w:tblGrid>
        <w:gridCol w:w="4291"/>
        <w:gridCol w:w="466"/>
      </w:tblGrid>
      <w:tr>
        <w:trPr/>
        <w:tc>
          <w:tcPr>
            <w:tcW w:w="429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4291" w:type="dxa"/>
            <w:tcBorders>
              <w:top w:val="single" w:sz="4" w:space="0" w:color="999999"/>
            </w:tcBorders>
            <w:tcMar>
              <w:left w:w="0" w:type="dxa"/>
              <w:bottom w:w="0" w:type="dxa"/>
              <w:right w:w="0" w:type="dxa"/>
            </w:tcMar>
            <w:vAlign w:val="center"/>
          </w:tcPr>
          <w:p>
            <w:pPr>
              <w:pStyle w:val="TableContents"/>
              <w:bidi w:val="0"/>
              <w:spacing w:before="14" w:after="283"/>
              <w:jc w:val="left"/>
              <w:rPr/>
            </w:pPr>
            <w:r>
              <w:rPr/>
              <w:t> </w:t>
            </w:r>
          </w:p>
          <w:p>
            <w:pPr>
              <w:pStyle w:val="TableContents"/>
              <w:bidi w:val="0"/>
              <w:spacing w:before="14" w:after="283"/>
              <w:jc w:val="left"/>
              <w:rPr>
                <w:rFonts w:ascii="Arial" w:hAnsi="Arial"/>
                <w:color w:val="000000"/>
                <w:sz w:val="18"/>
              </w:rPr>
            </w:pPr>
            <w:r>
              <w:rPr>
                <w:rFonts w:ascii="Arial" w:hAnsi="Arial"/>
                <w:color w:val="000000"/>
                <w:sz w:val="18"/>
              </w:rPr>
              <w:t>Appendix 3H - Notification of cessation of securities</w:t>
            </w:r>
          </w:p>
        </w:tc>
        <w:tc>
          <w:tcPr>
            <w:tcW w:w="466" w:type="dxa"/>
            <w:tcBorders>
              <w:top w:val="single" w:sz="4" w:space="0" w:color="999999"/>
            </w:tcBorders>
            <w:tcMar>
              <w:left w:w="0" w:type="dxa"/>
              <w:bottom w:w="0" w:type="dxa"/>
              <w:right w:w="0" w:type="dxa"/>
            </w:tcMar>
            <w:vAlign w:val="center"/>
          </w:tcPr>
          <w:p>
            <w:pPr>
              <w:pStyle w:val="TableContents"/>
              <w:bidi w:val="0"/>
              <w:spacing w:before="12" w:after="283"/>
              <w:jc w:val="right"/>
              <w:rPr>
                <w:rFonts w:ascii="Arial" w:hAnsi="Arial"/>
                <w:color w:val="000000"/>
                <w:sz w:val="17"/>
              </w:rPr>
            </w:pPr>
            <w:r>
              <w:rPr>
                <w:rFonts w:ascii="Arial" w:hAnsi="Arial"/>
                <w:color w:val="000000"/>
                <w:sz w:val="17"/>
              </w:rPr>
              <w:t>2 / 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826" w:type="dxa"/>
        <w:jc w:val="left"/>
        <w:tblInd w:w="0" w:type="dxa"/>
        <w:tblLayout w:type="fixed"/>
        <w:tblCellMar>
          <w:top w:w="28" w:type="dxa"/>
          <w:left w:w="28" w:type="dxa"/>
          <w:bottom w:w="28" w:type="dxa"/>
          <w:right w:w="28" w:type="dxa"/>
        </w:tblCellMar>
      </w:tblPr>
      <w:tblGrid>
        <w:gridCol w:w="491"/>
        <w:gridCol w:w="4335"/>
      </w:tblGrid>
      <w:tr>
        <w:trPr/>
        <w:tc>
          <w:tcPr>
            <w:tcW w:w="491" w:type="dxa"/>
            <w:tcBorders/>
            <w:vAlign w:val="center"/>
          </w:tcPr>
          <w:p>
            <w:pPr>
              <w:pStyle w:val="TableContents"/>
              <w:bidi w:val="0"/>
              <w:spacing w:before="0" w:after="283"/>
              <w:jc w:val="left"/>
              <w:rPr>
                <w:sz w:val="4"/>
                <w:szCs w:val="4"/>
              </w:rPr>
            </w:pPr>
            <w:r>
              <w:rPr>
                <w:sz w:val="4"/>
                <w:szCs w:val="4"/>
              </w:rPr>
            </w:r>
          </w:p>
        </w:tc>
        <w:tc>
          <w:tcPr>
            <w:tcW w:w="4335" w:type="dxa"/>
            <w:tcBorders/>
            <w:vAlign w:val="center"/>
          </w:tcPr>
          <w:p>
            <w:pPr>
              <w:pStyle w:val="TableContents"/>
              <w:bidi w:val="0"/>
              <w:spacing w:before="0" w:after="283"/>
              <w:jc w:val="left"/>
              <w:rPr>
                <w:sz w:val="4"/>
                <w:szCs w:val="4"/>
              </w:rPr>
            </w:pPr>
            <w:r>
              <w:rPr>
                <w:sz w:val="4"/>
                <w:szCs w:val="4"/>
              </w:rPr>
            </w:r>
          </w:p>
        </w:tc>
      </w:tr>
      <w:tr>
        <w:trPr/>
        <w:tc>
          <w:tcPr>
            <w:tcW w:w="491" w:type="dxa"/>
            <w:tcBorders>
              <w:bottom w:val="single" w:sz="4" w:space="0" w:color="999999"/>
            </w:tcBorders>
            <w:tcMar>
              <w:top w:w="0" w:type="dxa"/>
              <w:left w:w="0" w:type="dxa"/>
              <w:right w:w="0" w:type="dxa"/>
            </w:tcMar>
            <w:vAlign w:val="center"/>
          </w:tcPr>
          <w:p>
            <w:pPr>
              <w:pStyle w:val="TableContents"/>
              <w:bidi w:val="0"/>
              <w:jc w:val="left"/>
              <w:rPr/>
            </w:pPr>
            <w:r>
              <w:rPr/>
              <w:drawing>
                <wp:inline distT="0" distB="0" distL="0" distR="0">
                  <wp:extent cx="247650" cy="266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47650" cy="266700"/>
                          </a:xfrm>
                          <a:prstGeom prst="rect">
                            <a:avLst/>
                          </a:prstGeom>
                        </pic:spPr>
                      </pic:pic>
                    </a:graphicData>
                  </a:graphic>
                </wp:inline>
              </w:drawing>
            </w:r>
          </w:p>
          <w:p>
            <w:pPr>
              <w:pStyle w:val="TableContents"/>
              <w:bidi w:val="0"/>
              <w:spacing w:before="0" w:after="283"/>
              <w:ind w:left="0" w:right="0" w:firstLine="14"/>
              <w:jc w:val="left"/>
              <w:rPr/>
            </w:pPr>
            <w:r>
              <w:rPr/>
              <w:t> </w:t>
            </w:r>
          </w:p>
        </w:tc>
        <w:tc>
          <w:tcPr>
            <w:tcW w:w="4335" w:type="dxa"/>
            <w:tcBorders>
              <w:bottom w:val="single" w:sz="4" w:space="0" w:color="999999"/>
            </w:tcBorders>
            <w:tcMar>
              <w:top w:w="0" w:type="dxa"/>
              <w:left w:w="0" w:type="dxa"/>
              <w:right w:w="0" w:type="dxa"/>
            </w:tcMar>
            <w:vAlign w:val="center"/>
          </w:tcPr>
          <w:p>
            <w:pPr>
              <w:pStyle w:val="TableContents"/>
              <w:bidi w:val="0"/>
              <w:ind w:left="0" w:right="0" w:firstLine="14"/>
              <w:jc w:val="left"/>
              <w:rPr>
                <w:rFonts w:ascii="Arial" w:hAnsi="Arial"/>
                <w:color w:val="000000"/>
                <w:sz w:val="18"/>
              </w:rPr>
            </w:pPr>
            <w:r>
              <w:rPr>
                <w:rFonts w:ascii="Arial" w:hAnsi="Arial"/>
                <w:color w:val="000000"/>
                <w:sz w:val="18"/>
              </w:rPr>
              <w:t>Appendix 3H - Notification of cessation of securities</w:t>
            </w:r>
          </w:p>
          <w:p>
            <w:pPr>
              <w:pStyle w:val="TableContents"/>
              <w:bidi w:val="0"/>
              <w:spacing w:before="0" w:after="283"/>
              <w:ind w:left="0" w:right="0" w:firstLine="14"/>
              <w:jc w:val="left"/>
              <w:rPr/>
            </w:pPr>
            <w:r>
              <w:rPr/>
              <w:t> </w:t>
            </w:r>
          </w:p>
        </w:tc>
      </w:tr>
    </w:tbl>
    <w:p>
      <w:pPr>
        <w:pStyle w:val="TextBody"/>
        <w:bidi w:val="0"/>
        <w:jc w:val="left"/>
        <w:rPr/>
      </w:pPr>
      <w:r>
        <w:rPr/>
        <w:t> </w:t>
      </w:r>
    </w:p>
    <w:p>
      <w:pPr>
        <w:pStyle w:val="TextBody"/>
        <w:bidi w:val="0"/>
        <w:spacing w:before="84" w:after="283"/>
        <w:jc w:val="left"/>
        <w:rPr>
          <w:rFonts w:ascii="Arial" w:hAnsi="Arial"/>
          <w:color w:val="000000"/>
          <w:sz w:val="18"/>
        </w:rPr>
      </w:pPr>
      <w:r>
        <w:rPr>
          <w:rFonts w:ascii="Arial" w:hAnsi="Arial"/>
          <w:color w:val="000000"/>
          <w:sz w:val="18"/>
        </w:rPr>
        <w:t>Part 2 - Details of +equity securities or +debt securities that have ceased</w:t>
      </w:r>
    </w:p>
    <w:p>
      <w:pPr>
        <w:pStyle w:val="TextBody"/>
        <w:pBdr>
          <w:bottom w:val="single" w:sz="8" w:space="1" w:color="0C3A6C"/>
        </w:pBdr>
        <w:bidi w:val="0"/>
        <w:spacing w:before="3" w:after="283"/>
        <w:jc w:val="left"/>
        <w:rPr/>
      </w:pPr>
      <w:r>
        <w:rPr/>
        <w:t> </w:t>
      </w:r>
    </w:p>
    <w:p>
      <w:pPr>
        <w:pStyle w:val="TextBody"/>
        <w:bidi w:val="0"/>
        <w:spacing w:before="5" w:after="283"/>
        <w:jc w:val="left"/>
        <w:rPr/>
      </w:pPr>
      <w:r>
        <w:rPr/>
        <w:t> </w:t>
      </w:r>
    </w:p>
    <w:p>
      <w:pPr>
        <w:pStyle w:val="TextBody"/>
        <w:bidi w:val="0"/>
        <w:spacing w:before="15" w:after="283"/>
        <w:jc w:val="left"/>
        <w:rPr>
          <w:rFonts w:ascii="Arial" w:hAnsi="Arial"/>
          <w:b/>
          <w:color w:val="000000"/>
          <w:sz w:val="18"/>
        </w:rPr>
      </w:pPr>
      <w:r>
        <w:rPr>
          <w:rFonts w:ascii="Arial" w:hAnsi="Arial"/>
          <w:b/>
          <w:color w:val="000000"/>
          <w:sz w:val="18"/>
        </w:rPr>
        <w:t>ASX +Security Code and Description</w:t>
      </w:r>
    </w:p>
    <w:p>
      <w:pPr>
        <w:pStyle w:val="TextBody"/>
        <w:bidi w:val="0"/>
        <w:spacing w:before="105" w:after="283"/>
        <w:jc w:val="left"/>
        <w:rPr>
          <w:rFonts w:ascii="Arial" w:hAnsi="Arial"/>
          <w:color w:val="000000"/>
          <w:sz w:val="18"/>
        </w:rPr>
      </w:pPr>
      <w:r>
        <w:rPr>
          <w:rFonts w:ascii="Arial" w:hAnsi="Arial"/>
          <w:color w:val="000000"/>
          <w:sz w:val="18"/>
        </w:rPr>
        <w:t>NVXAH : CONVERTIBLE DEBENTURES</w:t>
      </w:r>
    </w:p>
    <w:p>
      <w:pPr>
        <w:pStyle w:val="TextBody"/>
        <w:bidi w:val="0"/>
        <w:spacing w:before="1" w:after="283"/>
        <w:jc w:val="left"/>
        <w:rPr/>
      </w:pPr>
      <w:r>
        <w:rPr/>
        <w:t> </w:t>
      </w:r>
    </w:p>
    <w:p>
      <w:pPr>
        <w:pStyle w:val="Heading1"/>
        <w:bidi w:val="0"/>
        <w:jc w:val="left"/>
        <w:rPr>
          <w:rFonts w:ascii="Arial" w:hAnsi="Arial"/>
          <w:color w:val="000000"/>
          <w:sz w:val="18"/>
        </w:rPr>
      </w:pPr>
      <w:r>
        <w:rPr>
          <w:rFonts w:ascii="Arial" w:hAnsi="Arial"/>
          <w:color w:val="000000"/>
          <w:sz w:val="18"/>
        </w:rPr>
        <w:t>Unquoted +equity securities that have ceased Number of securities that have ceased</w:t>
      </w:r>
    </w:p>
    <w:p>
      <w:pPr>
        <w:pStyle w:val="TextBody"/>
        <w:bidi w:val="0"/>
        <w:spacing w:before="18" w:after="283"/>
        <w:jc w:val="left"/>
        <w:rPr>
          <w:rFonts w:ascii="Arial" w:hAnsi="Arial"/>
          <w:color w:val="000000"/>
          <w:sz w:val="18"/>
        </w:rPr>
      </w:pPr>
      <w:r>
        <w:rPr>
          <w:rFonts w:ascii="Arial" w:hAnsi="Arial"/>
          <w:color w:val="000000"/>
          <w:sz w:val="18"/>
        </w:rPr>
        <w:t>7,000,000</w:t>
      </w:r>
    </w:p>
    <w:p>
      <w:pPr>
        <w:pStyle w:val="TextBody"/>
        <w:bidi w:val="0"/>
        <w:spacing w:before="1" w:after="283"/>
        <w:jc w:val="left"/>
        <w:rPr/>
      </w:pPr>
      <w:r>
        <w:rPr/>
        <w:t> </w:t>
      </w:r>
    </w:p>
    <w:p>
      <w:pPr>
        <w:pStyle w:val="Heading1"/>
        <w:bidi w:val="0"/>
        <w:jc w:val="left"/>
        <w:rPr>
          <w:rFonts w:ascii="Arial" w:hAnsi="Arial"/>
          <w:color w:val="000000"/>
          <w:sz w:val="18"/>
        </w:rPr>
      </w:pPr>
      <w:r>
        <w:rPr>
          <w:rFonts w:ascii="Arial" w:hAnsi="Arial"/>
          <w:color w:val="000000"/>
          <w:sz w:val="18"/>
        </w:rPr>
        <w:t>Reason for cessation</w:t>
      </w:r>
    </w:p>
    <w:p>
      <w:pPr>
        <w:pStyle w:val="TextBody"/>
        <w:bidi w:val="0"/>
        <w:spacing w:before="105" w:after="283"/>
        <w:jc w:val="left"/>
        <w:rPr>
          <w:rFonts w:ascii="Arial" w:hAnsi="Arial"/>
          <w:color w:val="000000"/>
          <w:sz w:val="18"/>
        </w:rPr>
      </w:pPr>
      <w:r>
        <w:rPr>
          <w:rFonts w:ascii="Arial" w:hAnsi="Arial"/>
          <w:color w:val="000000"/>
          <w:sz w:val="18"/>
        </w:rPr>
        <w:t>Repayment or redemption of +convertible debt security without conversion</w:t>
      </w:r>
    </w:p>
    <w:tbl>
      <w:tblPr>
        <w:tblW w:w="6542" w:type="dxa"/>
        <w:jc w:val="left"/>
        <w:tblInd w:w="0" w:type="dxa"/>
        <w:tblLayout w:type="fixed"/>
        <w:tblCellMar>
          <w:top w:w="28" w:type="dxa"/>
          <w:left w:w="28" w:type="dxa"/>
          <w:bottom w:w="28" w:type="dxa"/>
          <w:right w:w="28" w:type="dxa"/>
        </w:tblCellMar>
      </w:tblPr>
      <w:tblGrid>
        <w:gridCol w:w="1621"/>
        <w:gridCol w:w="4921"/>
      </w:tblGrid>
      <w:tr>
        <w:trPr/>
        <w:tc>
          <w:tcPr>
            <w:tcW w:w="1621" w:type="dxa"/>
            <w:tcBorders/>
            <w:vAlign w:val="center"/>
          </w:tcPr>
          <w:p>
            <w:pPr>
              <w:pStyle w:val="TableContents"/>
              <w:bidi w:val="0"/>
              <w:spacing w:before="0" w:after="283"/>
              <w:jc w:val="left"/>
              <w:rPr>
                <w:sz w:val="4"/>
                <w:szCs w:val="4"/>
              </w:rPr>
            </w:pPr>
            <w:r>
              <w:rPr>
                <w:sz w:val="4"/>
                <w:szCs w:val="4"/>
              </w:rPr>
            </w:r>
          </w:p>
        </w:tc>
        <w:tc>
          <w:tcPr>
            <w:tcW w:w="4921" w:type="dxa"/>
            <w:tcBorders/>
            <w:vAlign w:val="center"/>
          </w:tcPr>
          <w:p>
            <w:pPr>
              <w:pStyle w:val="TableContents"/>
              <w:bidi w:val="0"/>
              <w:spacing w:before="0" w:after="283"/>
              <w:jc w:val="left"/>
              <w:rPr>
                <w:sz w:val="4"/>
                <w:szCs w:val="4"/>
              </w:rPr>
            </w:pPr>
            <w:r>
              <w:rPr>
                <w:sz w:val="4"/>
                <w:szCs w:val="4"/>
              </w:rPr>
            </w:r>
          </w:p>
        </w:tc>
      </w:tr>
      <w:tr>
        <w:trPr/>
        <w:tc>
          <w:tcPr>
            <w:tcW w:w="1621" w:type="dxa"/>
            <w:tcBorders/>
            <w:tcMar>
              <w:top w:w="0" w:type="dxa"/>
              <w:left w:w="0" w:type="dxa"/>
              <w:bottom w:w="0" w:type="dxa"/>
              <w:right w:w="0" w:type="dxa"/>
            </w:tcMar>
            <w:vAlign w:val="center"/>
          </w:tcPr>
          <w:p>
            <w:pPr>
              <w:pStyle w:val="TableContents"/>
              <w:bidi w:val="0"/>
              <w:spacing w:before="107" w:after="283"/>
              <w:jc w:val="left"/>
              <w:rPr>
                <w:rFonts w:ascii="Arial" w:hAnsi="Arial"/>
                <w:b/>
                <w:color w:val="000000"/>
                <w:sz w:val="18"/>
              </w:rPr>
            </w:pPr>
            <w:r>
              <w:rPr>
                <w:rFonts w:ascii="Arial" w:hAnsi="Arial"/>
                <w:b/>
                <w:color w:val="000000"/>
                <w:sz w:val="18"/>
              </w:rPr>
              <w:t>Date of cessation</w:t>
            </w:r>
          </w:p>
        </w:tc>
        <w:tc>
          <w:tcPr>
            <w:tcW w:w="4921" w:type="dxa"/>
            <w:tcBorders/>
            <w:tcMar>
              <w:top w:w="0" w:type="dxa"/>
              <w:left w:w="0" w:type="dxa"/>
              <w:bottom w:w="0" w:type="dxa"/>
              <w:right w:w="0" w:type="dxa"/>
            </w:tcMar>
            <w:vAlign w:val="center"/>
          </w:tcPr>
          <w:p>
            <w:pPr>
              <w:pStyle w:val="Heading1"/>
              <w:bidi w:val="0"/>
              <w:spacing w:before="107" w:after="283"/>
              <w:jc w:val="left"/>
              <w:rPr>
                <w:rFonts w:ascii="Arial" w:hAnsi="Arial"/>
                <w:color w:val="000000"/>
                <w:sz w:val="18"/>
              </w:rPr>
            </w:pPr>
            <w:r>
              <w:rPr>
                <w:rFonts w:ascii="Arial" w:hAnsi="Arial"/>
                <w:color w:val="000000"/>
                <w:sz w:val="18"/>
              </w:rPr>
              <w:t>Is the entity paying any consideration for the cessation?</w:t>
            </w:r>
          </w:p>
        </w:tc>
      </w:tr>
      <w:tr>
        <w:trPr/>
        <w:tc>
          <w:tcPr>
            <w:tcW w:w="1621" w:type="dxa"/>
            <w:tcBorders/>
            <w:tcMar>
              <w:top w:w="0" w:type="dxa"/>
              <w:left w:w="0" w:type="dxa"/>
              <w:bottom w:w="0" w:type="dxa"/>
              <w:right w:w="0" w:type="dxa"/>
            </w:tcMar>
            <w:vAlign w:val="center"/>
          </w:tcPr>
          <w:p>
            <w:pPr>
              <w:pStyle w:val="TableContents"/>
              <w:bidi w:val="0"/>
              <w:spacing w:before="105" w:after="283"/>
              <w:jc w:val="left"/>
              <w:rPr>
                <w:rFonts w:ascii="Arial" w:hAnsi="Arial"/>
                <w:color w:val="000000"/>
                <w:sz w:val="18"/>
              </w:rPr>
            </w:pPr>
            <w:r>
              <w:rPr>
                <w:rFonts w:ascii="Arial" w:hAnsi="Arial"/>
                <w:color w:val="000000"/>
                <w:sz w:val="18"/>
              </w:rPr>
              <w:t>22/10/2026</w:t>
            </w:r>
          </w:p>
        </w:tc>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w:t>
            </w:r>
          </w:p>
        </w:tc>
      </w:tr>
    </w:tbl>
    <w:p>
      <w:pPr>
        <w:pStyle w:val="TextBody"/>
        <w:bidi w:val="0"/>
        <w:jc w:val="left"/>
        <w:rPr/>
      </w:pPr>
      <w:r>
        <w:rPr/>
        <w:t> </w:t>
      </w:r>
    </w:p>
    <w:p>
      <w:pPr>
        <w:pStyle w:val="TextBody"/>
        <w:bidi w:val="0"/>
        <w:spacing w:before="5" w:after="283"/>
        <w:jc w:val="left"/>
        <w:rPr/>
      </w:pPr>
      <w:r>
        <w:rPr/>
        <w:t> </w:t>
      </w:r>
    </w:p>
    <w:p>
      <w:pPr>
        <w:pStyle w:val="TextBody"/>
        <w:bidi w:val="0"/>
        <w:spacing w:before="95" w:after="283"/>
        <w:jc w:val="left"/>
        <w:rPr>
          <w:rFonts w:ascii="Arial" w:hAnsi="Arial"/>
          <w:b/>
          <w:color w:val="000000"/>
          <w:sz w:val="18"/>
        </w:rPr>
      </w:pPr>
      <w:r>
        <w:rPr>
          <w:rFonts w:ascii="Arial" w:hAnsi="Arial"/>
          <w:b/>
          <w:color w:val="000000"/>
          <w:sz w:val="18"/>
        </w:rPr>
        <w:t>Any other information the entity wishes to notify to ASX about the cessation?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4" w:space="0" w:color="999999"/>
              <w:left w:val="single" w:sz="4" w:space="0" w:color="999999"/>
              <w:bottom w:val="single" w:sz="4" w:space="0" w:color="999999"/>
              <w:right w:val="single" w:sz="4" w:space="0" w:color="999999"/>
            </w:tcBorders>
            <w:vAlign w:val="center"/>
          </w:tcPr>
          <w:p>
            <w:pPr>
              <w:pStyle w:val="TableContents"/>
              <w:bidi w:val="0"/>
              <w:spacing w:before="0" w:after="283"/>
              <w:jc w:val="left"/>
              <w:rPr>
                <w:rFonts w:ascii="Arial" w:hAnsi="Arial"/>
                <w:color w:val="000000"/>
                <w:sz w:val="18"/>
              </w:rPr>
            </w:pPr>
            <w:r>
              <w:rPr>
                <w:rFonts w:ascii="Arial" w:hAnsi="Arial"/>
                <w:color w:val="000000"/>
                <w:sz w:val="18"/>
              </w:rPr>
              <w:t>As per announcement on 22 October 2026, as a result of an amortisation event, US$7,000,000 of convertible debentures(7,000,000 convertible debentures) were redeemed.</w:t>
            </w:r>
          </w:p>
        </w:tc>
      </w:tr>
    </w:tbl>
    <w:p>
      <w:pPr>
        <w:pStyle w:val="TextBody"/>
        <w:bidi w:val="0"/>
        <w:jc w:val="left"/>
        <w:rPr/>
      </w:pPr>
      <w:r>
        <w:rPr/>
        <w:t> </w:t>
      </w:r>
    </w:p>
    <w:p>
      <w:pPr>
        <w:pStyle w:val="TextBody"/>
        <w:bidi w:val="0"/>
        <w:jc w:val="left"/>
        <w:rPr/>
      </w:pPr>
      <w:r>
        <w:rPr/>
        <w:t> </w:t>
      </w:r>
    </w:p>
    <w:tbl>
      <w:tblPr>
        <w:tblW w:w="4757" w:type="dxa"/>
        <w:jc w:val="left"/>
        <w:tblInd w:w="0" w:type="dxa"/>
        <w:tblLayout w:type="fixed"/>
        <w:tblCellMar>
          <w:top w:w="28" w:type="dxa"/>
          <w:left w:w="28" w:type="dxa"/>
          <w:bottom w:w="28" w:type="dxa"/>
          <w:right w:w="28" w:type="dxa"/>
        </w:tblCellMar>
      </w:tblPr>
      <w:tblGrid>
        <w:gridCol w:w="4291"/>
        <w:gridCol w:w="466"/>
      </w:tblGrid>
      <w:tr>
        <w:trPr/>
        <w:tc>
          <w:tcPr>
            <w:tcW w:w="429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4291" w:type="dxa"/>
            <w:tcBorders>
              <w:top w:val="single" w:sz="4" w:space="0" w:color="999999"/>
            </w:tcBorders>
            <w:tcMar>
              <w:left w:w="0" w:type="dxa"/>
              <w:bottom w:w="0" w:type="dxa"/>
              <w:right w:w="0" w:type="dxa"/>
            </w:tcMar>
            <w:vAlign w:val="center"/>
          </w:tcPr>
          <w:p>
            <w:pPr>
              <w:pStyle w:val="TableContents"/>
              <w:bidi w:val="0"/>
              <w:spacing w:before="14" w:after="283"/>
              <w:jc w:val="left"/>
              <w:rPr/>
            </w:pPr>
            <w:r>
              <w:rPr/>
              <w:t> </w:t>
            </w:r>
          </w:p>
          <w:p>
            <w:pPr>
              <w:pStyle w:val="TableContents"/>
              <w:bidi w:val="0"/>
              <w:spacing w:before="14" w:after="283"/>
              <w:jc w:val="left"/>
              <w:rPr>
                <w:rFonts w:ascii="Arial" w:hAnsi="Arial"/>
                <w:color w:val="000000"/>
                <w:sz w:val="18"/>
              </w:rPr>
            </w:pPr>
            <w:r>
              <w:rPr>
                <w:rFonts w:ascii="Arial" w:hAnsi="Arial"/>
                <w:color w:val="000000"/>
                <w:sz w:val="18"/>
              </w:rPr>
              <w:t>Appendix 3H - Notification of cessation of securities</w:t>
            </w:r>
          </w:p>
        </w:tc>
        <w:tc>
          <w:tcPr>
            <w:tcW w:w="466" w:type="dxa"/>
            <w:tcBorders>
              <w:top w:val="single" w:sz="4" w:space="0" w:color="999999"/>
            </w:tcBorders>
            <w:tcMar>
              <w:left w:w="0" w:type="dxa"/>
              <w:bottom w:w="0" w:type="dxa"/>
              <w:right w:w="0" w:type="dxa"/>
            </w:tcMar>
            <w:vAlign w:val="center"/>
          </w:tcPr>
          <w:p>
            <w:pPr>
              <w:pStyle w:val="TableContents"/>
              <w:bidi w:val="0"/>
              <w:spacing w:before="12" w:after="283"/>
              <w:jc w:val="right"/>
              <w:rPr>
                <w:rFonts w:ascii="Arial" w:hAnsi="Arial"/>
                <w:color w:val="000000"/>
                <w:sz w:val="17"/>
              </w:rPr>
            </w:pPr>
            <w:r>
              <w:rPr>
                <w:rFonts w:ascii="Arial" w:hAnsi="Arial"/>
                <w:color w:val="000000"/>
                <w:sz w:val="17"/>
              </w:rPr>
              <w:t>3 / 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826" w:type="dxa"/>
        <w:jc w:val="left"/>
        <w:tblInd w:w="0" w:type="dxa"/>
        <w:tblLayout w:type="fixed"/>
        <w:tblCellMar>
          <w:top w:w="28" w:type="dxa"/>
          <w:left w:w="28" w:type="dxa"/>
          <w:bottom w:w="28" w:type="dxa"/>
          <w:right w:w="28" w:type="dxa"/>
        </w:tblCellMar>
      </w:tblPr>
      <w:tblGrid>
        <w:gridCol w:w="491"/>
        <w:gridCol w:w="4335"/>
      </w:tblGrid>
      <w:tr>
        <w:trPr/>
        <w:tc>
          <w:tcPr>
            <w:tcW w:w="491" w:type="dxa"/>
            <w:tcBorders/>
            <w:vAlign w:val="center"/>
          </w:tcPr>
          <w:p>
            <w:pPr>
              <w:pStyle w:val="TableContents"/>
              <w:bidi w:val="0"/>
              <w:spacing w:before="0" w:after="283"/>
              <w:jc w:val="left"/>
              <w:rPr>
                <w:sz w:val="4"/>
                <w:szCs w:val="4"/>
              </w:rPr>
            </w:pPr>
            <w:r>
              <w:rPr>
                <w:sz w:val="4"/>
                <w:szCs w:val="4"/>
              </w:rPr>
            </w:r>
          </w:p>
        </w:tc>
        <w:tc>
          <w:tcPr>
            <w:tcW w:w="4335" w:type="dxa"/>
            <w:tcBorders/>
            <w:vAlign w:val="center"/>
          </w:tcPr>
          <w:p>
            <w:pPr>
              <w:pStyle w:val="TableContents"/>
              <w:bidi w:val="0"/>
              <w:spacing w:before="0" w:after="283"/>
              <w:jc w:val="left"/>
              <w:rPr>
                <w:sz w:val="4"/>
                <w:szCs w:val="4"/>
              </w:rPr>
            </w:pPr>
            <w:r>
              <w:rPr>
                <w:sz w:val="4"/>
                <w:szCs w:val="4"/>
              </w:rPr>
            </w:r>
          </w:p>
        </w:tc>
      </w:tr>
      <w:tr>
        <w:trPr/>
        <w:tc>
          <w:tcPr>
            <w:tcW w:w="491" w:type="dxa"/>
            <w:tcBorders>
              <w:bottom w:val="single" w:sz="4" w:space="0" w:color="999999"/>
            </w:tcBorders>
            <w:tcMar>
              <w:top w:w="0" w:type="dxa"/>
              <w:left w:w="0" w:type="dxa"/>
              <w:right w:w="0" w:type="dxa"/>
            </w:tcMar>
            <w:vAlign w:val="center"/>
          </w:tcPr>
          <w:p>
            <w:pPr>
              <w:pStyle w:val="TableContents"/>
              <w:bidi w:val="0"/>
              <w:jc w:val="left"/>
              <w:rPr/>
            </w:pPr>
            <w:r>
              <w:rPr/>
              <w:drawing>
                <wp:inline distT="0" distB="0" distL="0" distR="0">
                  <wp:extent cx="247650" cy="266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47650" cy="266700"/>
                          </a:xfrm>
                          <a:prstGeom prst="rect">
                            <a:avLst/>
                          </a:prstGeom>
                        </pic:spPr>
                      </pic:pic>
                    </a:graphicData>
                  </a:graphic>
                </wp:inline>
              </w:drawing>
            </w:r>
          </w:p>
          <w:p>
            <w:pPr>
              <w:pStyle w:val="TableContents"/>
              <w:bidi w:val="0"/>
              <w:spacing w:before="0" w:after="283"/>
              <w:ind w:left="0" w:right="0" w:firstLine="14"/>
              <w:jc w:val="left"/>
              <w:rPr/>
            </w:pPr>
            <w:r>
              <w:rPr/>
              <w:t> </w:t>
            </w:r>
          </w:p>
        </w:tc>
        <w:tc>
          <w:tcPr>
            <w:tcW w:w="4335" w:type="dxa"/>
            <w:tcBorders>
              <w:bottom w:val="single" w:sz="4" w:space="0" w:color="999999"/>
            </w:tcBorders>
            <w:tcMar>
              <w:top w:w="0" w:type="dxa"/>
              <w:left w:w="0" w:type="dxa"/>
              <w:right w:w="0" w:type="dxa"/>
            </w:tcMar>
            <w:vAlign w:val="center"/>
          </w:tcPr>
          <w:p>
            <w:pPr>
              <w:pStyle w:val="TableContents"/>
              <w:bidi w:val="0"/>
              <w:ind w:left="0" w:right="0" w:firstLine="14"/>
              <w:jc w:val="left"/>
              <w:rPr>
                <w:rFonts w:ascii="Arial" w:hAnsi="Arial"/>
                <w:color w:val="000000"/>
                <w:sz w:val="18"/>
              </w:rPr>
            </w:pPr>
            <w:r>
              <w:rPr>
                <w:rFonts w:ascii="Arial" w:hAnsi="Arial"/>
                <w:color w:val="000000"/>
                <w:sz w:val="18"/>
              </w:rPr>
              <w:t>Appendix 3H - Notification of cessation of securities</w:t>
            </w:r>
          </w:p>
          <w:p>
            <w:pPr>
              <w:pStyle w:val="TableContents"/>
              <w:bidi w:val="0"/>
              <w:spacing w:before="0" w:after="283"/>
              <w:ind w:left="0" w:right="0" w:firstLine="14"/>
              <w:jc w:val="left"/>
              <w:rPr/>
            </w:pPr>
            <w:r>
              <w:rPr/>
              <w:t> </w:t>
            </w:r>
          </w:p>
        </w:tc>
      </w:tr>
    </w:tbl>
    <w:p>
      <w:pPr>
        <w:pStyle w:val="TextBody"/>
        <w:bidi w:val="0"/>
        <w:jc w:val="left"/>
        <w:rPr/>
      </w:pPr>
      <w:r>
        <w:rPr/>
        <w:t> </w:t>
      </w:r>
    </w:p>
    <w:p>
      <w:pPr>
        <w:pStyle w:val="TextBody"/>
        <w:bidi w:val="0"/>
        <w:spacing w:before="84" w:after="283"/>
        <w:jc w:val="left"/>
        <w:rPr>
          <w:rFonts w:ascii="Arial" w:hAnsi="Arial"/>
          <w:color w:val="000000"/>
          <w:sz w:val="18"/>
        </w:rPr>
      </w:pPr>
      <w:r>
        <w:rPr>
          <w:rFonts w:ascii="Arial" w:hAnsi="Arial"/>
          <w:color w:val="000000"/>
          <w:sz w:val="18"/>
        </w:rPr>
        <w:t>Part 3 - Issued capital following changes</w:t>
      </w:r>
    </w:p>
    <w:p>
      <w:pPr>
        <w:pStyle w:val="TextBody"/>
        <w:pBdr>
          <w:bottom w:val="single" w:sz="8" w:space="1" w:color="0C3A6C"/>
        </w:pBdr>
        <w:bidi w:val="0"/>
        <w:spacing w:before="3" w:after="283"/>
        <w:jc w:val="left"/>
        <w:rPr/>
      </w:pPr>
      <w:r>
        <w:rPr/>
        <w:t> </w:t>
      </w:r>
    </w:p>
    <w:p>
      <w:pPr>
        <w:pStyle w:val="TextBody"/>
        <w:bidi w:val="0"/>
        <w:spacing w:before="7" w:after="283"/>
        <w:jc w:val="left"/>
        <w:rPr/>
      </w:pPr>
      <w:r>
        <w:rPr/>
        <w:t> </w:t>
      </w:r>
    </w:p>
    <w:p>
      <w:pPr>
        <w:pStyle w:val="Heading1"/>
        <w:bidi w:val="0"/>
        <w:jc w:val="left"/>
        <w:rPr>
          <w:rFonts w:ascii="Arial" w:hAnsi="Arial"/>
          <w:color w:val="000000"/>
          <w:sz w:val="18"/>
        </w:rPr>
      </w:pPr>
      <w:r>
        <w:rPr>
          <w:rFonts w:ascii="Arial" w:hAnsi="Arial"/>
          <w:color w:val="000000"/>
          <w:sz w:val="18"/>
        </w:rPr>
        <w:t>Following the cessation of the +securities the subject of this notification, the issued capital of the entity will comprise:</w:t>
      </w:r>
    </w:p>
    <w:p>
      <w:pPr>
        <w:pStyle w:val="TextBody"/>
        <w:bidi w:val="0"/>
        <w:spacing w:before="125" w:after="283"/>
        <w:jc w:val="left"/>
        <w:rPr>
          <w:rFonts w:ascii="Arial" w:hAnsi="Arial"/>
          <w:color w:val="000000"/>
          <w:sz w:val="18"/>
        </w:rPr>
      </w:pPr>
      <w:r>
        <w:rPr>
          <w:rFonts w:ascii="Arial" w:hAnsi="Arial"/>
          <w:color w:val="000000"/>
          <w:sz w:val="18"/>
        </w:rPr>
        <w:t>The figures in parts 3.1 and 3.2 below are automatically generated and may not reflect the entity's current issued capital if other Appendix 2A, Appendix 3G or Appendix 3H forms are currently with ASX for processing.</w:t>
      </w:r>
    </w:p>
    <w:p>
      <w:pPr>
        <w:pStyle w:val="TextBody"/>
        <w:bidi w:val="0"/>
        <w:spacing w:before="2" w:after="283"/>
        <w:jc w:val="left"/>
        <w:rPr/>
      </w:pPr>
      <w:r>
        <w:rPr/>
        <w:t> </w:t>
      </w:r>
    </w:p>
    <w:p>
      <w:pPr>
        <w:pStyle w:val="TextBody"/>
        <w:bidi w:val="0"/>
        <w:jc w:val="left"/>
        <w:rPr>
          <w:rFonts w:ascii="Arial" w:hAnsi="Arial"/>
          <w:b/>
          <w:color w:val="000000"/>
          <w:sz w:val="18"/>
        </w:rPr>
      </w:pPr>
      <w:r>
        <w:rPr>
          <w:rFonts w:ascii="Arial" w:hAnsi="Arial"/>
          <w:b/>
          <w:color w:val="000000"/>
          <w:sz w:val="18"/>
        </w:rPr>
        <w:t>3.1 Quoted +equity securities and +debt securities (total number of each +class of +securities quoted on ASX)</w:t>
      </w:r>
    </w:p>
    <w:p>
      <w:pPr>
        <w:pStyle w:val="TextBody"/>
        <w:bidi w:val="0"/>
        <w:spacing w:before="8" w:after="283"/>
        <w:jc w:val="left"/>
        <w:rPr/>
      </w:pPr>
      <w:r>
        <w:rPr/>
        <w:t> </w:t>
      </w:r>
    </w:p>
    <w:tbl>
      <w:tblPr>
        <w:tblW w:w="5057" w:type="dxa"/>
        <w:jc w:val="left"/>
        <w:tblInd w:w="0" w:type="dxa"/>
        <w:tblLayout w:type="fixed"/>
        <w:tblCellMar>
          <w:top w:w="28" w:type="dxa"/>
          <w:left w:w="28" w:type="dxa"/>
          <w:bottom w:w="28" w:type="dxa"/>
          <w:right w:w="28" w:type="dxa"/>
        </w:tblCellMar>
      </w:tblPr>
      <w:tblGrid>
        <w:gridCol w:w="3181"/>
        <w:gridCol w:w="1876"/>
      </w:tblGrid>
      <w:tr>
        <w:trPr/>
        <w:tc>
          <w:tcPr>
            <w:tcW w:w="3181"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3181" w:type="dxa"/>
            <w:tcBorders/>
            <w:tcMar>
              <w:top w:w="0" w:type="dxa"/>
              <w:left w:w="0" w:type="dxa"/>
              <w:bottom w:w="0" w:type="dxa"/>
              <w:right w:w="0" w:type="dxa"/>
            </w:tcMar>
            <w:vAlign w:val="center"/>
          </w:tcPr>
          <w:p>
            <w:pPr>
              <w:pStyle w:val="TableContents"/>
              <w:bidi w:val="0"/>
              <w:spacing w:before="3" w:after="283"/>
              <w:jc w:val="left"/>
              <w:rPr>
                <w:rFonts w:ascii="Arial" w:hAnsi="Arial"/>
                <w:b/>
                <w:color w:val="000000"/>
                <w:sz w:val="18"/>
              </w:rPr>
            </w:pPr>
            <w:r>
              <w:rPr>
                <w:rFonts w:ascii="Arial" w:hAnsi="Arial"/>
                <w:b/>
                <w:color w:val="000000"/>
                <w:sz w:val="18"/>
              </w:rPr>
              <w:t>ASX +security code and description</w:t>
            </w:r>
          </w:p>
        </w:tc>
        <w:tc>
          <w:tcPr>
            <w:tcW w:w="1876" w:type="dxa"/>
            <w:tcBorders/>
            <w:tcMar>
              <w:top w:w="0" w:type="dxa"/>
              <w:left w:w="0" w:type="dxa"/>
              <w:bottom w:w="0" w:type="dxa"/>
              <w:right w:w="0" w:type="dxa"/>
            </w:tcMar>
            <w:vAlign w:val="center"/>
          </w:tcPr>
          <w:p>
            <w:pPr>
              <w:pStyle w:val="TableContents"/>
              <w:bidi w:val="0"/>
              <w:jc w:val="right"/>
              <w:rPr>
                <w:rFonts w:ascii="Arial" w:hAnsi="Arial"/>
                <w:b/>
                <w:color w:val="000000"/>
                <w:sz w:val="18"/>
              </w:rPr>
            </w:pPr>
            <w:r>
              <w:rPr>
                <w:rFonts w:ascii="Arial" w:hAnsi="Arial"/>
                <w:b/>
                <w:color w:val="000000"/>
                <w:sz w:val="18"/>
              </w:rPr>
              <w:t>Total number of</w:t>
            </w:r>
          </w:p>
          <w:p>
            <w:pPr>
              <w:pStyle w:val="TableContents"/>
              <w:bidi w:val="0"/>
              <w:spacing w:before="3" w:after="283"/>
              <w:jc w:val="right"/>
              <w:rPr>
                <w:rFonts w:ascii="Arial" w:hAnsi="Arial"/>
                <w:b/>
                <w:color w:val="000000"/>
                <w:sz w:val="18"/>
              </w:rPr>
            </w:pPr>
            <w:r>
              <w:rPr>
                <w:rFonts w:ascii="Arial" w:hAnsi="Arial"/>
                <w:b/>
                <w:color w:val="000000"/>
                <w:sz w:val="18"/>
              </w:rPr>
              <w:t>+securities on issue</w:t>
            </w:r>
          </w:p>
        </w:tc>
      </w:tr>
      <w:tr>
        <w:trPr/>
        <w:tc>
          <w:tcPr>
            <w:tcW w:w="3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NVX : ORDINARY FULLY PAID</w:t>
            </w:r>
          </w:p>
        </w:tc>
        <w:tc>
          <w:tcPr>
            <w:tcW w:w="1876" w:type="dxa"/>
            <w:tcBorders/>
            <w:tcMar>
              <w:top w:w="0" w:type="dxa"/>
              <w:left w:w="0" w:type="dxa"/>
              <w:bottom w:w="0" w:type="dxa"/>
              <w:right w:w="0" w:type="dxa"/>
            </w:tcMar>
            <w:vAlign w:val="center"/>
          </w:tcPr>
          <w:p>
            <w:pPr>
              <w:pStyle w:val="TableContents"/>
              <w:bidi w:val="0"/>
              <w:spacing w:before="95" w:after="283"/>
              <w:jc w:val="right"/>
              <w:rPr>
                <w:rFonts w:ascii="Arial" w:hAnsi="Arial"/>
                <w:color w:val="000000"/>
                <w:sz w:val="18"/>
              </w:rPr>
            </w:pPr>
            <w:r>
              <w:rPr>
                <w:rFonts w:ascii="Arial" w:hAnsi="Arial"/>
                <w:color w:val="000000"/>
                <w:sz w:val="18"/>
              </w:rPr>
              <w:t>997,927,386</w:t>
            </w:r>
          </w:p>
        </w:tc>
      </w:tr>
    </w:tbl>
    <w:p>
      <w:pPr>
        <w:pStyle w:val="TextBody"/>
        <w:bidi w:val="0"/>
        <w:jc w:val="left"/>
        <w:rPr/>
      </w:pPr>
      <w:r>
        <w:rPr/>
        <w:t> </w:t>
      </w:r>
    </w:p>
    <w:p>
      <w:pPr>
        <w:pStyle w:val="TextBody"/>
        <w:bidi w:val="0"/>
        <w:spacing w:before="10" w:after="283"/>
        <w:jc w:val="left"/>
        <w:rPr/>
      </w:pPr>
      <w:r>
        <w:rPr/>
        <w:t> </w:t>
      </w:r>
    </w:p>
    <w:p>
      <w:pPr>
        <w:pStyle w:val="TextBody"/>
        <w:bidi w:val="0"/>
        <w:jc w:val="left"/>
        <w:rPr>
          <w:rFonts w:ascii="Arial" w:hAnsi="Arial"/>
          <w:b/>
          <w:color w:val="000000"/>
          <w:sz w:val="18"/>
        </w:rPr>
      </w:pPr>
      <w:r>
        <w:rPr>
          <w:rFonts w:ascii="Arial" w:hAnsi="Arial"/>
          <w:b/>
          <w:color w:val="000000"/>
          <w:sz w:val="18"/>
        </w:rPr>
        <w:t>3.2 Unquoted +equity securities (total number of each +class of +equity securities issued but not quoted on ASX)</w:t>
      </w:r>
    </w:p>
    <w:p>
      <w:pPr>
        <w:pStyle w:val="TextBody"/>
        <w:bidi w:val="0"/>
        <w:spacing w:before="8" w:after="283"/>
        <w:jc w:val="left"/>
        <w:rPr/>
      </w:pPr>
      <w:r>
        <w:rPr/>
        <w:t> </w:t>
      </w:r>
    </w:p>
    <w:tbl>
      <w:tblPr>
        <w:tblW w:w="7682" w:type="dxa"/>
        <w:jc w:val="left"/>
        <w:tblInd w:w="0" w:type="dxa"/>
        <w:tblLayout w:type="fixed"/>
        <w:tblCellMar>
          <w:top w:w="28" w:type="dxa"/>
          <w:left w:w="28" w:type="dxa"/>
          <w:bottom w:w="28" w:type="dxa"/>
          <w:right w:w="28" w:type="dxa"/>
        </w:tblCellMar>
      </w:tblPr>
      <w:tblGrid>
        <w:gridCol w:w="5806"/>
        <w:gridCol w:w="1876"/>
      </w:tblGrid>
      <w:tr>
        <w:trPr/>
        <w:tc>
          <w:tcPr>
            <w:tcW w:w="580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58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ASX +security code and description</w:t>
            </w:r>
          </w:p>
        </w:tc>
        <w:tc>
          <w:tcPr>
            <w:tcW w:w="1876" w:type="dxa"/>
            <w:tcBorders/>
            <w:tcMar>
              <w:top w:w="0" w:type="dxa"/>
              <w:left w:w="0" w:type="dxa"/>
              <w:bottom w:w="0" w:type="dxa"/>
              <w:right w:w="0" w:type="dxa"/>
            </w:tcMar>
            <w:vAlign w:val="center"/>
          </w:tcPr>
          <w:p>
            <w:pPr>
              <w:pStyle w:val="TableContents"/>
              <w:bidi w:val="0"/>
              <w:jc w:val="right"/>
              <w:rPr>
                <w:rFonts w:ascii="Arial" w:hAnsi="Arial"/>
                <w:b/>
                <w:color w:val="000000"/>
                <w:sz w:val="18"/>
              </w:rPr>
            </w:pPr>
            <w:r>
              <w:rPr>
                <w:rFonts w:ascii="Arial" w:hAnsi="Arial"/>
                <w:b/>
                <w:color w:val="000000"/>
                <w:sz w:val="18"/>
              </w:rPr>
              <w:t>Total number of</w:t>
            </w:r>
          </w:p>
          <w:p>
            <w:pPr>
              <w:pStyle w:val="TableContents"/>
              <w:bidi w:val="0"/>
              <w:spacing w:before="3" w:after="283"/>
              <w:jc w:val="right"/>
              <w:rPr>
                <w:rFonts w:ascii="Arial" w:hAnsi="Arial"/>
                <w:b/>
                <w:color w:val="000000"/>
                <w:sz w:val="18"/>
              </w:rPr>
            </w:pPr>
            <w:r>
              <w:rPr>
                <w:rFonts w:ascii="Arial" w:hAnsi="Arial"/>
                <w:b/>
                <w:color w:val="000000"/>
                <w:sz w:val="18"/>
              </w:rPr>
              <w:t>+securities on issue</w:t>
            </w:r>
          </w:p>
        </w:tc>
      </w:tr>
      <w:tr>
        <w:trPr/>
        <w:tc>
          <w:tcPr>
            <w:tcW w:w="580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tcMar>
              <w:top w:w="0" w:type="dxa"/>
              <w:left w:w="0" w:type="dxa"/>
              <w:bottom w:w="0" w:type="dxa"/>
              <w:right w:w="0" w:type="dxa"/>
            </w:tcMar>
            <w:vAlign w:val="center"/>
          </w:tcPr>
          <w:p>
            <w:pPr>
              <w:pStyle w:val="TableContents"/>
              <w:bidi w:val="0"/>
              <w:spacing w:before="95" w:after="283"/>
              <w:jc w:val="left"/>
              <w:rPr>
                <w:rFonts w:ascii="Arial" w:hAnsi="Arial"/>
                <w:color w:val="000000"/>
                <w:sz w:val="18"/>
              </w:rPr>
            </w:pPr>
            <w:r>
              <w:rPr>
                <w:rFonts w:ascii="Arial" w:hAnsi="Arial"/>
                <w:color w:val="000000"/>
                <w:sz w:val="18"/>
              </w:rPr>
              <w:t>NVXAD : PERFORMANCE RIGHTS</w:t>
            </w:r>
          </w:p>
        </w:tc>
        <w:tc>
          <w:tcPr>
            <w:tcW w:w="1876" w:type="dxa"/>
            <w:tcBorders/>
            <w:tcMar>
              <w:top w:w="0" w:type="dxa"/>
              <w:left w:w="0" w:type="dxa"/>
              <w:bottom w:w="0" w:type="dxa"/>
              <w:right w:w="0" w:type="dxa"/>
            </w:tcMar>
            <w:vAlign w:val="center"/>
          </w:tcPr>
          <w:p>
            <w:pPr>
              <w:pStyle w:val="TableContents"/>
              <w:bidi w:val="0"/>
              <w:spacing w:before="95" w:after="283"/>
              <w:jc w:val="right"/>
              <w:rPr>
                <w:rFonts w:ascii="Arial" w:hAnsi="Arial"/>
                <w:color w:val="000000"/>
                <w:sz w:val="18"/>
              </w:rPr>
            </w:pPr>
            <w:r>
              <w:rPr>
                <w:rFonts w:ascii="Arial" w:hAnsi="Arial"/>
                <w:color w:val="000000"/>
                <w:sz w:val="18"/>
              </w:rPr>
              <w:t>20,623,340</w:t>
            </w:r>
          </w:p>
        </w:tc>
      </w:tr>
      <w:tr>
        <w:trPr/>
        <w:tc>
          <w:tcPr>
            <w:tcW w:w="580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172" w:after="283"/>
              <w:jc w:val="left"/>
              <w:rPr>
                <w:rFonts w:ascii="Arial" w:hAnsi="Arial"/>
                <w:color w:val="000000"/>
                <w:sz w:val="18"/>
              </w:rPr>
            </w:pPr>
            <w:r>
              <w:rPr>
                <w:rFonts w:ascii="Arial" w:hAnsi="Arial"/>
                <w:color w:val="000000"/>
                <w:sz w:val="18"/>
              </w:rPr>
              <w:t>NVXAA : OPTION EXPIRING VARIOUS DATES EX VARIOUS PRICES</w:t>
            </w:r>
          </w:p>
        </w:tc>
        <w:tc>
          <w:tcPr>
            <w:tcW w:w="1876" w:type="dxa"/>
            <w:tcBorders/>
            <w:tcMar>
              <w:top w:w="0" w:type="dxa"/>
              <w:left w:w="0" w:type="dxa"/>
              <w:bottom w:w="0" w:type="dxa"/>
              <w:right w:w="0" w:type="dxa"/>
            </w:tcMar>
            <w:vAlign w:val="center"/>
          </w:tcPr>
          <w:p>
            <w:pPr>
              <w:pStyle w:val="TableContents"/>
              <w:bidi w:val="0"/>
              <w:spacing w:before="172" w:after="283"/>
              <w:jc w:val="right"/>
              <w:rPr>
                <w:rFonts w:ascii="Arial" w:hAnsi="Arial"/>
                <w:color w:val="000000"/>
                <w:sz w:val="18"/>
              </w:rPr>
            </w:pPr>
            <w:r>
              <w:rPr>
                <w:rFonts w:ascii="Arial" w:hAnsi="Arial"/>
                <w:color w:val="000000"/>
                <w:sz w:val="18"/>
              </w:rPr>
              <w:t>14,016,667</w:t>
            </w:r>
          </w:p>
        </w:tc>
      </w:tr>
      <w:tr>
        <w:trPr/>
        <w:tc>
          <w:tcPr>
            <w:tcW w:w="580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173" w:after="283"/>
              <w:jc w:val="left"/>
              <w:rPr>
                <w:rFonts w:ascii="Arial" w:hAnsi="Arial"/>
                <w:color w:val="000000"/>
                <w:sz w:val="18"/>
              </w:rPr>
            </w:pPr>
            <w:r>
              <w:rPr>
                <w:rFonts w:ascii="Arial" w:hAnsi="Arial"/>
                <w:color w:val="000000"/>
                <w:sz w:val="18"/>
              </w:rPr>
              <w:t>NVXAB : SHARE RIGHTS</w:t>
            </w:r>
          </w:p>
        </w:tc>
        <w:tc>
          <w:tcPr>
            <w:tcW w:w="1876" w:type="dxa"/>
            <w:tcBorders/>
            <w:tcMar>
              <w:top w:w="0" w:type="dxa"/>
              <w:left w:w="0" w:type="dxa"/>
              <w:bottom w:w="0" w:type="dxa"/>
              <w:right w:w="0" w:type="dxa"/>
            </w:tcMar>
            <w:vAlign w:val="center"/>
          </w:tcPr>
          <w:p>
            <w:pPr>
              <w:pStyle w:val="TableContents"/>
              <w:bidi w:val="0"/>
              <w:spacing w:before="173" w:after="283"/>
              <w:jc w:val="right"/>
              <w:rPr>
                <w:rFonts w:ascii="Arial" w:hAnsi="Arial"/>
                <w:color w:val="000000"/>
                <w:sz w:val="18"/>
              </w:rPr>
            </w:pPr>
            <w:r>
              <w:rPr>
                <w:rFonts w:ascii="Arial" w:hAnsi="Arial"/>
                <w:color w:val="000000"/>
                <w:sz w:val="18"/>
              </w:rPr>
              <w:t>1,371,566</w:t>
            </w:r>
          </w:p>
        </w:tc>
      </w:tr>
      <w:tr>
        <w:trPr/>
        <w:tc>
          <w:tcPr>
            <w:tcW w:w="580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173" w:after="283"/>
              <w:jc w:val="left"/>
              <w:rPr>
                <w:rFonts w:ascii="Arial" w:hAnsi="Arial"/>
                <w:color w:val="000000"/>
                <w:sz w:val="18"/>
              </w:rPr>
            </w:pPr>
            <w:r>
              <w:rPr>
                <w:rFonts w:ascii="Arial" w:hAnsi="Arial"/>
                <w:color w:val="000000"/>
                <w:sz w:val="18"/>
              </w:rPr>
              <w:t>NVXAL : CONVERTIBLE NOTES</w:t>
            </w:r>
          </w:p>
        </w:tc>
        <w:tc>
          <w:tcPr>
            <w:tcW w:w="1876" w:type="dxa"/>
            <w:tcBorders/>
            <w:tcMar>
              <w:top w:w="0" w:type="dxa"/>
              <w:left w:w="0" w:type="dxa"/>
              <w:bottom w:w="0" w:type="dxa"/>
              <w:right w:w="0" w:type="dxa"/>
            </w:tcMar>
            <w:vAlign w:val="center"/>
          </w:tcPr>
          <w:p>
            <w:pPr>
              <w:pStyle w:val="TableContents"/>
              <w:bidi w:val="0"/>
              <w:spacing w:before="173" w:after="283"/>
              <w:jc w:val="right"/>
              <w:rPr>
                <w:rFonts w:ascii="Arial" w:hAnsi="Arial"/>
                <w:color w:val="000000"/>
                <w:sz w:val="18"/>
              </w:rPr>
            </w:pPr>
            <w:r>
              <w:rPr>
                <w:rFonts w:ascii="Arial" w:hAnsi="Arial"/>
                <w:color w:val="000000"/>
                <w:sz w:val="18"/>
              </w:rPr>
              <w:t>45,221,586</w:t>
            </w:r>
          </w:p>
        </w:tc>
      </w:tr>
    </w:tbl>
    <w:p>
      <w:pPr>
        <w:pStyle w:val="TextBody"/>
        <w:bidi w:val="0"/>
        <w:spacing w:before="8" w:after="283"/>
        <w:jc w:val="left"/>
        <w:rPr/>
      </w:pPr>
      <w:r>
        <w:rPr/>
        <w:t> </w:t>
      </w:r>
    </w:p>
    <w:tbl>
      <w:tblPr>
        <w:tblW w:w="4532" w:type="dxa"/>
        <w:jc w:val="left"/>
        <w:tblInd w:w="0" w:type="dxa"/>
        <w:tblLayout w:type="fixed"/>
        <w:tblCellMar>
          <w:top w:w="28" w:type="dxa"/>
          <w:left w:w="28" w:type="dxa"/>
          <w:bottom w:w="28" w:type="dxa"/>
          <w:right w:w="28" w:type="dxa"/>
        </w:tblCellMar>
      </w:tblPr>
      <w:tblGrid>
        <w:gridCol w:w="3451"/>
        <w:gridCol w:w="1081"/>
      </w:tblGrid>
      <w:tr>
        <w:trPr/>
        <w:tc>
          <w:tcPr>
            <w:tcW w:w="345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tcMar>
              <w:top w:w="0" w:type="dxa"/>
              <w:left w:w="0" w:type="dxa"/>
              <w:bottom w:w="0" w:type="dxa"/>
              <w:right w:w="0" w:type="dxa"/>
            </w:tcMar>
            <w:vAlign w:val="center"/>
          </w:tcPr>
          <w:p>
            <w:pPr>
              <w:pStyle w:val="TableContents"/>
              <w:bidi w:val="0"/>
              <w:spacing w:before="173" w:after="283"/>
              <w:jc w:val="left"/>
              <w:rPr>
                <w:rFonts w:ascii="Arial" w:hAnsi="Arial"/>
                <w:color w:val="000000"/>
                <w:sz w:val="18"/>
              </w:rPr>
            </w:pPr>
            <w:r>
              <w:rPr>
                <w:rFonts w:ascii="Arial" w:hAnsi="Arial"/>
                <w:color w:val="000000"/>
                <w:sz w:val="18"/>
              </w:rPr>
              <w:t>NVXAH : CONVERTIBLE DEBENTURES</w:t>
            </w:r>
          </w:p>
        </w:tc>
        <w:tc>
          <w:tcPr>
            <w:tcW w:w="1081" w:type="dxa"/>
            <w:tcBorders/>
            <w:tcMar>
              <w:top w:w="0" w:type="dxa"/>
              <w:left w:w="0" w:type="dxa"/>
              <w:bottom w:w="0" w:type="dxa"/>
              <w:right w:w="0" w:type="dxa"/>
            </w:tcMar>
            <w:vAlign w:val="center"/>
          </w:tcPr>
          <w:p>
            <w:pPr>
              <w:pStyle w:val="TableContents"/>
              <w:bidi w:val="0"/>
              <w:spacing w:before="173" w:after="283"/>
              <w:jc w:val="right"/>
              <w:rPr>
                <w:rFonts w:ascii="Arial" w:hAnsi="Arial"/>
                <w:color w:val="000000"/>
                <w:sz w:val="18"/>
              </w:rPr>
            </w:pPr>
            <w:r>
              <w:rPr>
                <w:rFonts w:ascii="Arial" w:hAnsi="Arial"/>
                <w:color w:val="000000"/>
                <w:sz w:val="18"/>
              </w:rPr>
              <w:t>28,000,000</w:t>
            </w:r>
          </w:p>
        </w:tc>
      </w:tr>
    </w:tbl>
    <w:p>
      <w:pPr>
        <w:pStyle w:val="TextBody"/>
        <w:bidi w:val="0"/>
        <w:jc w:val="left"/>
        <w:rPr/>
      </w:pPr>
      <w:r>
        <w:rPr/>
        <w:t> </w:t>
      </w:r>
    </w:p>
    <w:p>
      <w:pPr>
        <w:pStyle w:val="TextBody"/>
        <w:bidi w:val="0"/>
        <w:jc w:val="left"/>
        <w:rPr/>
      </w:pPr>
      <w:r>
        <w:rPr/>
        <w:t> </w:t>
      </w:r>
    </w:p>
    <w:p>
      <w:pPr>
        <w:pStyle w:val="TextBody"/>
        <w:bidi w:val="0"/>
        <w:spacing w:before="7" w:after="283"/>
        <w:jc w:val="left"/>
        <w:rPr/>
      </w:pPr>
      <w:r>
        <w:rPr/>
        <w:t> </w:t>
      </w:r>
    </w:p>
    <w:p>
      <w:pPr>
        <w:pStyle w:val="TextBody"/>
        <w:bidi w:val="0"/>
        <w:jc w:val="left"/>
        <w:rPr>
          <w:rFonts w:ascii="Arial" w:hAnsi="Arial"/>
          <w:color w:val="000000"/>
          <w:sz w:val="18"/>
        </w:rPr>
      </w:pPr>
      <w:r>
        <w:rPr>
          <w:rFonts w:ascii="Arial" w:hAnsi="Arial"/>
          <w:color w:val="000000"/>
          <w:sz w:val="18"/>
        </w:rPr>
        <w:t>Note: the figures stated in the tables above are used to calculate the total market capitalisation of the entity published by ASX from time to time. The table will not include those classes of +securities that have ceased or lapsed in their entirety in ASX records before the announcement date described in Q1.5, even if the entity has advised ASX of a change to that class of +security in Part 2 of this form.</w:t>
      </w:r>
    </w:p>
    <w:p>
      <w:pPr>
        <w:pStyle w:val="TextBody"/>
        <w:bidi w:val="0"/>
        <w:jc w:val="left"/>
        <w:rPr/>
      </w:pPr>
      <w:r>
        <w:rPr/>
        <w:t> </w:t>
      </w:r>
    </w:p>
    <w:tbl>
      <w:tblPr>
        <w:tblW w:w="4757" w:type="dxa"/>
        <w:jc w:val="left"/>
        <w:tblInd w:w="0" w:type="dxa"/>
        <w:tblLayout w:type="fixed"/>
        <w:tblCellMar>
          <w:top w:w="28" w:type="dxa"/>
          <w:left w:w="28" w:type="dxa"/>
          <w:bottom w:w="28" w:type="dxa"/>
          <w:right w:w="28" w:type="dxa"/>
        </w:tblCellMar>
      </w:tblPr>
      <w:tblGrid>
        <w:gridCol w:w="4291"/>
        <w:gridCol w:w="466"/>
      </w:tblGrid>
      <w:tr>
        <w:trPr/>
        <w:tc>
          <w:tcPr>
            <w:tcW w:w="429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4291" w:type="dxa"/>
            <w:tcBorders>
              <w:top w:val="single" w:sz="4" w:space="0" w:color="999999"/>
            </w:tcBorders>
            <w:tcMar>
              <w:left w:w="0" w:type="dxa"/>
              <w:bottom w:w="0" w:type="dxa"/>
              <w:right w:w="0" w:type="dxa"/>
            </w:tcMar>
            <w:vAlign w:val="center"/>
          </w:tcPr>
          <w:p>
            <w:pPr>
              <w:pStyle w:val="TableContents"/>
              <w:bidi w:val="0"/>
              <w:spacing w:before="14" w:after="283"/>
              <w:jc w:val="left"/>
              <w:rPr/>
            </w:pPr>
            <w:r>
              <w:rPr/>
              <w:t> </w:t>
            </w:r>
          </w:p>
          <w:p>
            <w:pPr>
              <w:pStyle w:val="TableContents"/>
              <w:bidi w:val="0"/>
              <w:spacing w:before="14" w:after="283"/>
              <w:jc w:val="left"/>
              <w:rPr>
                <w:rFonts w:ascii="Arial" w:hAnsi="Arial"/>
                <w:color w:val="000000"/>
                <w:sz w:val="18"/>
              </w:rPr>
            </w:pPr>
            <w:r>
              <w:rPr>
                <w:rFonts w:ascii="Arial" w:hAnsi="Arial"/>
                <w:color w:val="000000"/>
                <w:sz w:val="18"/>
              </w:rPr>
              <w:t>Appendix 3H - Notification of cessation of securities</w:t>
            </w:r>
          </w:p>
        </w:tc>
        <w:tc>
          <w:tcPr>
            <w:tcW w:w="466" w:type="dxa"/>
            <w:tcBorders>
              <w:top w:val="single" w:sz="4" w:space="0" w:color="999999"/>
            </w:tcBorders>
            <w:tcMar>
              <w:left w:w="0" w:type="dxa"/>
              <w:bottom w:w="0" w:type="dxa"/>
              <w:right w:w="0" w:type="dxa"/>
            </w:tcMar>
            <w:vAlign w:val="center"/>
          </w:tcPr>
          <w:p>
            <w:pPr>
              <w:pStyle w:val="TableContents"/>
              <w:bidi w:val="0"/>
              <w:spacing w:before="12" w:after="283"/>
              <w:jc w:val="right"/>
              <w:rPr>
                <w:rFonts w:ascii="Arial" w:hAnsi="Arial"/>
                <w:color w:val="000000"/>
                <w:sz w:val="17"/>
              </w:rPr>
            </w:pPr>
            <w:r>
              <w:rPr>
                <w:rFonts w:ascii="Arial" w:hAnsi="Arial"/>
                <w:color w:val="000000"/>
                <w:sz w:val="17"/>
              </w:rPr>
              <w:t>4 / 4</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716</Words>
  <Characters>3874</Characters>
  <CharactersWithSpaces>4594</CharactersWithSpaces>
  <Paragraphs>245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