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June,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6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1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0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Appendix 3H (Notification of cessation of securities) dated June 30, 2026</w:t>
            </w:r>
          </w:p>
        </w:tc>
      </w:tr>
      <w:tr>
        <w:trPr>
          <w:trHeight w:val="743"/>
        </w:trPr>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4420" w:type="dxa"/>
            <w:vAlign w:val="bottom"/>
            <w:tcBorders>
              <w:top w:val="single" w:sz="8" w:color="0000FF"/>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269240</wp:posOffset>
            </wp:positionV>
            <wp:extent cx="22288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97790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Announcement Type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Tuesday June 30, 2026</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Details of +securities that have ceased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Borders>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tcPr>
          <w:p>
            <w:pPr>
              <w:ind w:left="840"/>
              <w:spacing w:after="0"/>
              <w:rPr>
                <w:sz w:val="20"/>
                <w:szCs w:val="20"/>
                <w:color w:val="auto"/>
              </w:rPr>
            </w:pPr>
            <w:r>
              <w:rPr>
                <w:rFonts w:ascii="Arial" w:cs="Arial" w:eastAsia="Arial" w:hAnsi="Arial"/>
                <w:sz w:val="16"/>
                <w:szCs w:val="16"/>
                <w:b w:val="1"/>
                <w:bCs w:val="1"/>
                <w:color w:val="auto"/>
              </w:rPr>
              <w:t>Number of</w:t>
            </w:r>
          </w:p>
        </w:tc>
        <w:tc>
          <w:tcPr>
            <w:tcW w:w="1980" w:type="dxa"/>
            <w:vAlign w:val="bottom"/>
            <w:tcBorders>
              <w:top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ASX +security</w:t>
            </w:r>
          </w:p>
        </w:tc>
        <w:tc>
          <w:tcPr>
            <w:tcW w:w="2700" w:type="dxa"/>
            <w:vAlign w:val="bottom"/>
          </w:tcPr>
          <w:p>
            <w:pPr>
              <w:spacing w:after="0"/>
              <w:rPr>
                <w:sz w:val="17"/>
                <w:szCs w:val="17"/>
                <w:color w:val="auto"/>
              </w:rPr>
            </w:pPr>
          </w:p>
        </w:tc>
        <w:tc>
          <w:tcPr>
            <w:tcW w:w="4320" w:type="dxa"/>
            <w:vAlign w:val="bottom"/>
          </w:tcPr>
          <w:p>
            <w:pPr>
              <w:ind w:left="400"/>
              <w:spacing w:after="0"/>
              <w:rPr>
                <w:sz w:val="20"/>
                <w:szCs w:val="20"/>
                <w:color w:val="auto"/>
              </w:rPr>
            </w:pPr>
            <w:r>
              <w:rPr>
                <w:rFonts w:ascii="Arial" w:cs="Arial" w:eastAsia="Arial" w:hAnsi="Arial"/>
                <w:sz w:val="16"/>
                <w:szCs w:val="16"/>
                <w:b w:val="1"/>
                <w:bCs w:val="1"/>
                <w:color w:val="auto"/>
              </w:rPr>
              <w:t>+securities that The +securities have</w:t>
            </w: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Date of</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code</w:t>
            </w:r>
          </w:p>
        </w:tc>
        <w:tc>
          <w:tcPr>
            <w:tcW w:w="2700" w:type="dxa"/>
            <w:vAlign w:val="bottom"/>
          </w:tcPr>
          <w:p>
            <w:pPr>
              <w:ind w:left="340"/>
              <w:spacing w:after="0"/>
              <w:rPr>
                <w:sz w:val="20"/>
                <w:szCs w:val="20"/>
                <w:color w:val="auto"/>
              </w:rPr>
            </w:pPr>
            <w:r>
              <w:rPr>
                <w:rFonts w:ascii="Arial" w:cs="Arial" w:eastAsia="Arial" w:hAnsi="Arial"/>
                <w:sz w:val="16"/>
                <w:szCs w:val="16"/>
                <w:b w:val="1"/>
                <w:bCs w:val="1"/>
                <w:color w:val="auto"/>
              </w:rPr>
              <w:t>Security description</w:t>
            </w:r>
          </w:p>
        </w:tc>
        <w:tc>
          <w:tcPr>
            <w:tcW w:w="4320" w:type="dxa"/>
            <w:vAlign w:val="bottom"/>
          </w:tcPr>
          <w:p>
            <w:pPr>
              <w:ind w:left="640"/>
              <w:spacing w:after="0"/>
              <w:rPr>
                <w:sz w:val="20"/>
                <w:szCs w:val="20"/>
                <w:color w:val="auto"/>
              </w:rPr>
            </w:pPr>
            <w:r>
              <w:rPr>
                <w:rFonts w:ascii="Arial" w:cs="Arial" w:eastAsia="Arial" w:hAnsi="Arial"/>
                <w:sz w:val="16"/>
                <w:szCs w:val="16"/>
                <w:b w:val="1"/>
                <w:bCs w:val="1"/>
                <w:color w:val="auto"/>
              </w:rPr>
              <w:t>have ceased ceased due to</w:t>
            </w:r>
          </w:p>
        </w:tc>
        <w:tc>
          <w:tcPr>
            <w:tcW w:w="198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cessation</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ind w:left="620"/>
              <w:spacing w:after="0"/>
              <w:rPr>
                <w:sz w:val="20"/>
                <w:szCs w:val="20"/>
                <w:color w:val="auto"/>
              </w:rPr>
            </w:pPr>
            <w:r>
              <w:rPr>
                <w:rFonts w:ascii="Arial" w:cs="Arial" w:eastAsia="Arial" w:hAnsi="Arial"/>
                <w:sz w:val="16"/>
                <w:szCs w:val="16"/>
                <w:color w:val="auto"/>
              </w:rPr>
              <w:t>NVXAD</w:t>
            </w:r>
          </w:p>
        </w:tc>
        <w:tc>
          <w:tcPr>
            <w:tcW w:w="2700" w:type="dxa"/>
            <w:vAlign w:val="bottom"/>
          </w:tcPr>
          <w:p>
            <w:pPr>
              <w:ind w:left="340"/>
              <w:spacing w:after="0"/>
              <w:rPr>
                <w:sz w:val="20"/>
                <w:szCs w:val="20"/>
                <w:color w:val="auto"/>
              </w:rPr>
            </w:pPr>
            <w:r>
              <w:rPr>
                <w:rFonts w:ascii="Arial" w:cs="Arial" w:eastAsia="Arial" w:hAnsi="Arial"/>
                <w:sz w:val="16"/>
                <w:szCs w:val="16"/>
                <w:color w:val="auto"/>
              </w:rPr>
              <w:t>PERFORMANCE RIGHTS</w:t>
            </w:r>
          </w:p>
        </w:tc>
        <w:tc>
          <w:tcPr>
            <w:tcW w:w="6300" w:type="dxa"/>
            <w:vAlign w:val="bottom"/>
            <w:tcBorders>
              <w:right w:val="single" w:sz="8" w:color="auto"/>
            </w:tcBorders>
            <w:gridSpan w:val="2"/>
          </w:tcPr>
          <w:p>
            <w:pPr>
              <w:ind w:left="920"/>
              <w:spacing w:after="0"/>
              <w:rPr>
                <w:sz w:val="20"/>
                <w:szCs w:val="20"/>
                <w:color w:val="auto"/>
              </w:rPr>
            </w:pPr>
            <w:r>
              <w:rPr>
                <w:rFonts w:ascii="Arial" w:cs="Arial" w:eastAsia="Arial" w:hAnsi="Arial"/>
                <w:sz w:val="16"/>
                <w:szCs w:val="16"/>
                <w:color w:val="auto"/>
              </w:rPr>
              <w:t>5,781,507 Lapse of conditional right to securities 30/06/2026</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because the conditions have not</w:t>
            </w:r>
          </w:p>
        </w:tc>
        <w:tc>
          <w:tcPr>
            <w:tcW w:w="1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been, or have become incapable of</w:t>
            </w:r>
          </w:p>
        </w:tc>
        <w:tc>
          <w:tcPr>
            <w:tcW w:w="1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320" w:type="dxa"/>
            <w:vAlign w:val="bottom"/>
          </w:tcPr>
          <w:p>
            <w:pPr>
              <w:ind w:left="1680"/>
              <w:spacing w:after="0"/>
              <w:rPr>
                <w:sz w:val="20"/>
                <w:szCs w:val="20"/>
                <w:color w:val="auto"/>
              </w:rPr>
            </w:pPr>
            <w:r>
              <w:rPr>
                <w:rFonts w:ascii="Arial" w:cs="Arial" w:eastAsia="Arial" w:hAnsi="Arial"/>
                <w:sz w:val="16"/>
                <w:szCs w:val="16"/>
                <w:color w:val="auto"/>
              </w:rPr>
              <w:t>being, satisfied</w:t>
            </w:r>
          </w:p>
        </w:tc>
        <w:tc>
          <w:tcPr>
            <w:tcW w:w="19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gridSpan w:val="2"/>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2"/>
          </w:tcPr>
          <w:p>
            <w:pPr>
              <w:ind w:left="480"/>
              <w:spacing w:after="0"/>
              <w:rPr>
                <w:sz w:val="20"/>
                <w:szCs w:val="20"/>
                <w:color w:val="auto"/>
              </w:rPr>
            </w:pPr>
            <w:r>
              <w:rPr>
                <w:rFonts w:ascii="Arial" w:cs="Arial" w:eastAsia="Arial" w:hAnsi="Arial"/>
                <w:sz w:val="16"/>
                <w:szCs w:val="16"/>
                <w:color w:val="auto"/>
              </w:rPr>
              <w:t>Refer to next page for full details of the announcement</w:t>
            </w:r>
          </w:p>
        </w:tc>
        <w:tc>
          <w:tcPr>
            <w:tcW w:w="4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tcBorders>
              <w:bottom w:val="single" w:sz="8" w:color="999999"/>
            </w:tcBorders>
          </w:tcPr>
          <w:p>
            <w:pPr>
              <w:spacing w:after="0"/>
              <w:rPr>
                <w:sz w:val="9"/>
                <w:szCs w:val="9"/>
                <w:color w:val="auto"/>
              </w:rPr>
            </w:pPr>
          </w:p>
        </w:tc>
        <w:tc>
          <w:tcPr>
            <w:tcW w:w="2700" w:type="dxa"/>
            <w:vAlign w:val="bottom"/>
            <w:tcBorders>
              <w:bottom w:val="single" w:sz="8" w:color="999999"/>
            </w:tcBorders>
          </w:tcPr>
          <w:p>
            <w:pPr>
              <w:spacing w:after="0"/>
              <w:rPr>
                <w:sz w:val="9"/>
                <w:szCs w:val="9"/>
                <w:color w:val="auto"/>
              </w:rPr>
            </w:pPr>
          </w:p>
        </w:tc>
        <w:tc>
          <w:tcPr>
            <w:tcW w:w="4320" w:type="dxa"/>
            <w:vAlign w:val="bottom"/>
            <w:tcBorders>
              <w:bottom w:val="single" w:sz="8" w:color="999999"/>
            </w:tcBorders>
          </w:tcPr>
          <w:p>
            <w:pPr>
              <w:spacing w:after="0"/>
              <w:rPr>
                <w:sz w:val="9"/>
                <w:szCs w:val="9"/>
                <w:color w:val="auto"/>
              </w:rPr>
            </w:pPr>
          </w:p>
        </w:tc>
        <w:tc>
          <w:tcPr>
            <w:tcW w:w="1980" w:type="dxa"/>
            <w:vAlign w:val="bottom"/>
            <w:tcBorders>
              <w:bottom w:val="single" w:sz="8" w:color="999999"/>
            </w:tcBorders>
          </w:tcPr>
          <w:p>
            <w:pPr>
              <w:spacing w:after="0"/>
              <w:rPr>
                <w:sz w:val="9"/>
                <w:szCs w:val="9"/>
                <w:color w:val="auto"/>
              </w:rPr>
            </w:pPr>
          </w:p>
        </w:tc>
        <w:tc>
          <w:tcPr>
            <w:tcW w:w="40" w:type="dxa"/>
            <w:vAlign w:val="bottom"/>
            <w:tcBorders>
              <w:bottom w:val="single" w:sz="8" w:color="999999"/>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800" w:type="dxa"/>
            <w:vAlign w:val="bottom"/>
            <w:gridSpan w:val="3"/>
            <w:vMerge w:val="restart"/>
          </w:tcPr>
          <w:p>
            <w:pPr>
              <w:ind w:left="40"/>
              <w:spacing w:after="0"/>
              <w:rPr>
                <w:sz w:val="20"/>
                <w:szCs w:val="20"/>
                <w:color w:val="auto"/>
              </w:rPr>
            </w:pPr>
            <w:r>
              <w:rPr>
                <w:rFonts w:ascii="Arial" w:cs="Arial" w:eastAsia="Arial" w:hAnsi="Arial"/>
                <w:sz w:val="16"/>
                <w:szCs w:val="16"/>
                <w:color w:val="auto"/>
              </w:rPr>
              <w:t>Appendix 3H - Notification of cessation of securities</w:t>
            </w:r>
          </w:p>
        </w:tc>
        <w:tc>
          <w:tcPr>
            <w:tcW w:w="432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1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800" w:type="dxa"/>
            <w:vAlign w:val="bottom"/>
            <w:gridSpan w:val="3"/>
            <w:vMerge w:val="continue"/>
          </w:tcPr>
          <w:p>
            <w:pPr>
              <w:spacing w:after="0"/>
              <w:rPr>
                <w:sz w:val="8"/>
                <w:szCs w:val="8"/>
                <w:color w:val="auto"/>
              </w:rPr>
            </w:pPr>
          </w:p>
        </w:tc>
        <w:tc>
          <w:tcPr>
            <w:tcW w:w="4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0"/>
        </w:trPr>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 w:name="page5"/>
    <w:bookmarkEnd w:id="4"/>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269240</wp:posOffset>
            </wp:positionV>
            <wp:extent cx="22288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Part 1 -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106680</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(the entity named above) provide the following information about our issued capital.</w:t>
      </w:r>
    </w:p>
    <w:p>
      <w:pPr>
        <w:sectPr>
          <w:pgSz w:w="11900" w:h="16838" w:orient="portrait"/>
          <w:cols w:equalWidth="0" w:num="1">
            <w:col w:w="11240"/>
          </w:cols>
          <w:pgMar w:left="320" w:top="598" w:right="339" w:bottom="1440" w:gutter="0" w:footer="0" w:header="0"/>
        </w:sectPr>
      </w:pP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00" w:lineRule="exact"/>
        <w:rPr>
          <w:sz w:val="20"/>
          <w:szCs w:val="20"/>
          <w:color w:val="auto"/>
        </w:rPr>
      </w:pPr>
    </w:p>
    <w:p>
      <w:pPr>
        <w:sectPr>
          <w:pgSz w:w="11900" w:h="16838" w:orient="portrait"/>
          <w:cols w:equalWidth="0" w:num="2">
            <w:col w:w="4300" w:space="720"/>
            <w:col w:w="6220"/>
          </w:cols>
          <w:pgMar w:left="320" w:top="598" w:right="33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ABN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4300" w:space="720"/>
            <w:col w:w="6220"/>
          </w:cols>
          <w:pgMar w:left="320" w:top="598" w:right="339" w:bottom="1440" w:gutter="0" w:footer="0" w:header="0"/>
          <w:type w:val="continuous"/>
        </w:sectPr>
      </w:pPr>
    </w:p>
    <w:p>
      <w:pPr>
        <w:spacing w:after="0" w:line="26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NVX</w:t>
      </w:r>
    </w:p>
    <w:p>
      <w:pPr>
        <w:spacing w:after="0" w:line="28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New announcement</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30/6/2026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2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0"/>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5" w:name="page6"/>
    <w:bookmarkEnd w:id="5"/>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577215</wp:posOffset>
            </wp:positionV>
            <wp:extent cx="22288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Details of +equity securities or +debt securities that have ceased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4020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ASX +Security Code and Description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NVXAD : PERFORMANCE RIGHTS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Unquoted +equity securities that have ceased Number</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of securities that have ceased</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5,781,507</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Reason for cessation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Lapse of conditional right to securities because the conditions have not been, or have become incapable of being, satisfied</w:t>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460" w:type="dxa"/>
            <w:vAlign w:val="bottom"/>
          </w:tcPr>
          <w:p>
            <w:pPr>
              <w:spacing w:after="0"/>
              <w:rPr>
                <w:sz w:val="20"/>
                <w:szCs w:val="20"/>
                <w:color w:val="auto"/>
              </w:rPr>
            </w:pPr>
            <w:r>
              <w:rPr>
                <w:rFonts w:ascii="Arial" w:cs="Arial" w:eastAsia="Arial" w:hAnsi="Arial"/>
                <w:sz w:val="16"/>
                <w:szCs w:val="16"/>
                <w:b w:val="1"/>
                <w:bCs w:val="1"/>
                <w:color w:val="auto"/>
              </w:rPr>
              <w:t>Date of cessation</w:t>
            </w:r>
          </w:p>
        </w:tc>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Is the entity paying any consideration for the cessation?</w:t>
            </w:r>
          </w:p>
        </w:tc>
        <w:tc>
          <w:tcPr>
            <w:tcW w:w="0" w:type="dxa"/>
            <w:vAlign w:val="bottom"/>
          </w:tcPr>
          <w:p>
            <w:pPr>
              <w:spacing w:after="0"/>
              <w:rPr>
                <w:sz w:val="1"/>
                <w:szCs w:val="1"/>
                <w:color w:val="auto"/>
              </w:rPr>
            </w:pPr>
          </w:p>
        </w:tc>
      </w:tr>
      <w:tr>
        <w:trPr>
          <w:trHeight w:val="215"/>
        </w:trPr>
        <w:tc>
          <w:tcPr>
            <w:tcW w:w="2460" w:type="dxa"/>
            <w:vAlign w:val="bottom"/>
            <w:vMerge w:val="restart"/>
          </w:tcPr>
          <w:p>
            <w:pPr>
              <w:spacing w:after="0"/>
              <w:rPr>
                <w:sz w:val="20"/>
                <w:szCs w:val="20"/>
                <w:color w:val="auto"/>
              </w:rPr>
            </w:pPr>
            <w:r>
              <w:rPr>
                <w:rFonts w:ascii="Arial" w:cs="Arial" w:eastAsia="Arial" w:hAnsi="Arial"/>
                <w:sz w:val="16"/>
                <w:szCs w:val="16"/>
                <w:color w:val="auto"/>
              </w:rPr>
              <w:t>30/6/2026</w:t>
            </w:r>
          </w:p>
        </w:tc>
        <w:tc>
          <w:tcPr>
            <w:tcW w:w="5480" w:type="dxa"/>
            <w:vAlign w:val="bottom"/>
          </w:tcPr>
          <w:p>
            <w:pPr>
              <w:ind w:left="114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95"/>
        </w:trPr>
        <w:tc>
          <w:tcPr>
            <w:tcW w:w="2460" w:type="dxa"/>
            <w:vAlign w:val="bottom"/>
            <w:vMerge w:val="continue"/>
          </w:tcPr>
          <w:p>
            <w:pPr>
              <w:spacing w:after="0"/>
              <w:rPr>
                <w:sz w:val="8"/>
                <w:szCs w:val="8"/>
                <w:color w:val="auto"/>
              </w:rPr>
            </w:pPr>
          </w:p>
        </w:tc>
        <w:tc>
          <w:tcPr>
            <w:tcW w:w="5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Any other information the entity wishes to notify to ASX about the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493510"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3510" cy="141605"/>
                    </a:xfrm>
                    <a:prstGeom prst="rect">
                      <a:avLst/>
                    </a:prstGeom>
                    <a:noFill/>
                  </pic:spPr>
                </pic:pic>
              </a:graphicData>
            </a:graphic>
          </wp:anchor>
        </w:drawing>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Performance rights forfeited on cessation of employment.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3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3"/>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 w:name="page7"/>
    <w:bookmarkEnd w:id="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577215</wp:posOffset>
            </wp:positionV>
            <wp:extent cx="222885"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40030"/>
                    </a:xfrm>
                    <a:prstGeom prst="rect">
                      <a:avLst/>
                    </a:prstGeom>
                    <a:noFill/>
                  </pic:spPr>
                </pic:pic>
              </a:graphicData>
            </a:graphic>
          </wp:anchor>
        </w:drawing>
        <w:t>Appendix 3H - Notification of cessation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7054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3 - Issued capital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2305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Following the cessation of the +securities the subject of this notification, the issued capital of the entity will comprise:</w:t>
      </w:r>
    </w:p>
    <w:p>
      <w:pPr>
        <w:spacing w:after="0" w:line="113"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figures in parts 3.1 and 3.2 below are automatically generated and may not reflect the entity's current issued capital if other Appendix 2A, Appendix 3G or Appendix 3H forms are currently with ASX for processing.</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8820" w:type="dxa"/>
            <w:vAlign w:val="bottom"/>
          </w:tcPr>
          <w:p>
            <w:pPr>
              <w:spacing w:after="0"/>
              <w:rPr>
                <w:sz w:val="20"/>
                <w:szCs w:val="20"/>
                <w:color w:val="auto"/>
              </w:rPr>
            </w:pPr>
            <w:r>
              <w:rPr>
                <w:rFonts w:ascii="Arial" w:cs="Arial" w:eastAsia="Arial" w:hAnsi="Arial"/>
                <w:sz w:val="16"/>
                <w:szCs w:val="16"/>
                <w:b w:val="1"/>
                <w:bCs w:val="1"/>
                <w:color w:val="auto"/>
              </w:rPr>
              <w:t>3.1 Quoted +equity securities and +debt securities (total number of each +class of +securities quoted on ASX)</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6"/>
                <w:szCs w:val="16"/>
                <w:b w:val="1"/>
                <w:bCs w:val="1"/>
                <w:color w:val="auto"/>
              </w:rPr>
              <w:t>ASX +security code and description</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397"/>
        </w:trPr>
        <w:tc>
          <w:tcPr>
            <w:tcW w:w="8820" w:type="dxa"/>
            <w:vAlign w:val="bottom"/>
          </w:tcPr>
          <w:p>
            <w:pPr>
              <w:ind w:left="60"/>
              <w:spacing w:after="0"/>
              <w:rPr>
                <w:sz w:val="20"/>
                <w:szCs w:val="20"/>
                <w:color w:val="auto"/>
              </w:rPr>
            </w:pPr>
            <w:r>
              <w:rPr>
                <w:rFonts w:ascii="Arial" w:cs="Arial" w:eastAsia="Arial" w:hAnsi="Arial"/>
                <w:sz w:val="16"/>
                <w:szCs w:val="16"/>
                <w:color w:val="auto"/>
              </w:rPr>
              <w:t>NVX : ORDINARY FULLY PAID</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991,561,920</w:t>
            </w:r>
          </w:p>
        </w:tc>
        <w:tc>
          <w:tcPr>
            <w:tcW w:w="0" w:type="dxa"/>
            <w:vAlign w:val="bottom"/>
          </w:tcPr>
          <w:p>
            <w:pPr>
              <w:spacing w:after="0"/>
              <w:rPr>
                <w:sz w:val="1"/>
                <w:szCs w:val="1"/>
                <w:color w:val="auto"/>
              </w:rPr>
            </w:pPr>
          </w:p>
        </w:tc>
      </w:tr>
      <w:tr>
        <w:trPr>
          <w:trHeight w:val="81"/>
        </w:trPr>
        <w:tc>
          <w:tcPr>
            <w:tcW w:w="88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0"/>
        </w:trPr>
        <w:tc>
          <w:tcPr>
            <w:tcW w:w="8820" w:type="dxa"/>
            <w:vAlign w:val="bottom"/>
          </w:tcPr>
          <w:p>
            <w:pPr>
              <w:spacing w:after="0"/>
              <w:rPr>
                <w:sz w:val="20"/>
                <w:szCs w:val="20"/>
                <w:color w:val="auto"/>
              </w:rPr>
            </w:pPr>
            <w:r>
              <w:rPr>
                <w:rFonts w:ascii="Arial" w:cs="Arial" w:eastAsia="Arial" w:hAnsi="Arial"/>
                <w:sz w:val="16"/>
                <w:szCs w:val="16"/>
                <w:b w:val="1"/>
                <w:bCs w:val="1"/>
                <w:color w:val="auto"/>
              </w:rPr>
              <w:t>3.2 Unquoted +equity securities (total number of each +class of +equity securities issued but not quoted on ASX)</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8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6"/>
                <w:szCs w:val="16"/>
                <w:b w:val="1"/>
                <w:bCs w:val="1"/>
                <w:color w:val="auto"/>
              </w:rPr>
              <w:t>ASX +security code and description</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478"/>
        </w:trPr>
        <w:tc>
          <w:tcPr>
            <w:tcW w:w="8820" w:type="dxa"/>
            <w:vAlign w:val="bottom"/>
          </w:tcPr>
          <w:p>
            <w:pPr>
              <w:ind w:left="60"/>
              <w:spacing w:after="0"/>
              <w:rPr>
                <w:sz w:val="20"/>
                <w:szCs w:val="20"/>
                <w:color w:val="auto"/>
              </w:rPr>
            </w:pPr>
            <w:r>
              <w:rPr>
                <w:rFonts w:ascii="Arial" w:cs="Arial" w:eastAsia="Arial" w:hAnsi="Arial"/>
                <w:sz w:val="16"/>
                <w:szCs w:val="16"/>
                <w:color w:val="auto"/>
              </w:rPr>
              <w:t>NVXAD : PERFORMANCE RIGHTS</w:t>
            </w:r>
          </w:p>
        </w:tc>
        <w:tc>
          <w:tcPr>
            <w:tcW w:w="1660" w:type="dxa"/>
            <w:vAlign w:val="bottom"/>
          </w:tcPr>
          <w:p>
            <w:pPr>
              <w:jc w:val="right"/>
              <w:spacing w:after="0"/>
              <w:rPr>
                <w:sz w:val="20"/>
                <w:szCs w:val="20"/>
                <w:color w:val="auto"/>
              </w:rPr>
            </w:pPr>
            <w:r>
              <w:rPr>
                <w:rFonts w:ascii="Arial" w:cs="Arial" w:eastAsia="Arial" w:hAnsi="Arial"/>
                <w:sz w:val="16"/>
                <w:szCs w:val="16"/>
                <w:color w:val="auto"/>
              </w:rPr>
              <w:t>21,619,875</w:t>
            </w:r>
          </w:p>
        </w:tc>
        <w:tc>
          <w:tcPr>
            <w:tcW w:w="0" w:type="dxa"/>
            <w:vAlign w:val="bottom"/>
          </w:tcPr>
          <w:p>
            <w:pPr>
              <w:spacing w:after="0"/>
              <w:rPr>
                <w:sz w:val="1"/>
                <w:szCs w:val="1"/>
                <w:color w:val="auto"/>
              </w:rPr>
            </w:pPr>
          </w:p>
        </w:tc>
      </w:tr>
      <w:tr>
        <w:trPr>
          <w:trHeight w:val="554"/>
        </w:trPr>
        <w:tc>
          <w:tcPr>
            <w:tcW w:w="8820" w:type="dxa"/>
            <w:vAlign w:val="bottom"/>
          </w:tcPr>
          <w:p>
            <w:pPr>
              <w:ind w:left="60"/>
              <w:spacing w:after="0"/>
              <w:rPr>
                <w:sz w:val="20"/>
                <w:szCs w:val="20"/>
                <w:color w:val="auto"/>
              </w:rPr>
            </w:pPr>
            <w:r>
              <w:rPr>
                <w:rFonts w:ascii="Arial" w:cs="Arial" w:eastAsia="Arial" w:hAnsi="Arial"/>
                <w:sz w:val="16"/>
                <w:szCs w:val="16"/>
                <w:color w:val="auto"/>
              </w:rPr>
              <w:t>NVXAA : OPTION EXPIRING VARIOUS DATES EX VARIOUS PRICES</w:t>
            </w:r>
          </w:p>
        </w:tc>
        <w:tc>
          <w:tcPr>
            <w:tcW w:w="1660" w:type="dxa"/>
            <w:vAlign w:val="bottom"/>
          </w:tcPr>
          <w:p>
            <w:pPr>
              <w:jc w:val="right"/>
              <w:spacing w:after="0"/>
              <w:rPr>
                <w:sz w:val="20"/>
                <w:szCs w:val="20"/>
                <w:color w:val="auto"/>
              </w:rPr>
            </w:pPr>
            <w:r>
              <w:rPr>
                <w:rFonts w:ascii="Arial" w:cs="Arial" w:eastAsia="Arial" w:hAnsi="Arial"/>
                <w:sz w:val="16"/>
                <w:szCs w:val="16"/>
                <w:color w:val="auto"/>
              </w:rPr>
              <w:t>14,016,667</w:t>
            </w:r>
          </w:p>
        </w:tc>
        <w:tc>
          <w:tcPr>
            <w:tcW w:w="0" w:type="dxa"/>
            <w:vAlign w:val="bottom"/>
          </w:tcPr>
          <w:p>
            <w:pPr>
              <w:spacing w:after="0"/>
              <w:rPr>
                <w:sz w:val="1"/>
                <w:szCs w:val="1"/>
                <w:color w:val="auto"/>
              </w:rPr>
            </w:pPr>
          </w:p>
        </w:tc>
      </w:tr>
      <w:tr>
        <w:trPr>
          <w:trHeight w:val="540"/>
        </w:trPr>
        <w:tc>
          <w:tcPr>
            <w:tcW w:w="8820" w:type="dxa"/>
            <w:vAlign w:val="bottom"/>
          </w:tcPr>
          <w:p>
            <w:pPr>
              <w:ind w:left="60"/>
              <w:spacing w:after="0"/>
              <w:rPr>
                <w:sz w:val="20"/>
                <w:szCs w:val="20"/>
                <w:color w:val="auto"/>
              </w:rPr>
            </w:pPr>
            <w:r>
              <w:rPr>
                <w:rFonts w:ascii="Arial" w:cs="Arial" w:eastAsia="Arial" w:hAnsi="Arial"/>
                <w:sz w:val="16"/>
                <w:szCs w:val="16"/>
                <w:color w:val="auto"/>
              </w:rPr>
              <w:t>NVXAB : SHARE RIGHTS</w:t>
            </w:r>
          </w:p>
        </w:tc>
        <w:tc>
          <w:tcPr>
            <w:tcW w:w="1660" w:type="dxa"/>
            <w:vAlign w:val="bottom"/>
          </w:tcPr>
          <w:p>
            <w:pPr>
              <w:jc w:val="right"/>
              <w:spacing w:after="0"/>
              <w:rPr>
                <w:sz w:val="20"/>
                <w:szCs w:val="20"/>
                <w:color w:val="auto"/>
              </w:rPr>
            </w:pPr>
            <w:r>
              <w:rPr>
                <w:rFonts w:ascii="Arial" w:cs="Arial" w:eastAsia="Arial" w:hAnsi="Arial"/>
                <w:sz w:val="16"/>
                <w:szCs w:val="16"/>
                <w:color w:val="auto"/>
              </w:rPr>
              <w:t>1,371,566</w:t>
            </w:r>
          </w:p>
        </w:tc>
        <w:tc>
          <w:tcPr>
            <w:tcW w:w="0" w:type="dxa"/>
            <w:vAlign w:val="bottom"/>
          </w:tcPr>
          <w:p>
            <w:pPr>
              <w:spacing w:after="0"/>
              <w:rPr>
                <w:sz w:val="1"/>
                <w:szCs w:val="1"/>
                <w:color w:val="auto"/>
              </w:rPr>
            </w:pPr>
          </w:p>
        </w:tc>
      </w:tr>
      <w:tr>
        <w:trPr>
          <w:trHeight w:val="553"/>
        </w:trPr>
        <w:tc>
          <w:tcPr>
            <w:tcW w:w="8820" w:type="dxa"/>
            <w:vAlign w:val="bottom"/>
          </w:tcPr>
          <w:p>
            <w:pPr>
              <w:ind w:left="60"/>
              <w:spacing w:after="0"/>
              <w:rPr>
                <w:sz w:val="20"/>
                <w:szCs w:val="20"/>
                <w:color w:val="auto"/>
              </w:rPr>
            </w:pPr>
            <w:r>
              <w:rPr>
                <w:rFonts w:ascii="Arial" w:cs="Arial" w:eastAsia="Arial" w:hAnsi="Arial"/>
                <w:sz w:val="16"/>
                <w:szCs w:val="16"/>
                <w:color w:val="auto"/>
              </w:rPr>
              <w:t>NVXAL : CONVERTIBLE NOTES</w:t>
            </w:r>
          </w:p>
        </w:tc>
        <w:tc>
          <w:tcPr>
            <w:tcW w:w="1660" w:type="dxa"/>
            <w:vAlign w:val="bottom"/>
          </w:tcPr>
          <w:p>
            <w:pPr>
              <w:jc w:val="right"/>
              <w:spacing w:after="0"/>
              <w:rPr>
                <w:sz w:val="20"/>
                <w:szCs w:val="20"/>
                <w:color w:val="auto"/>
              </w:rPr>
            </w:pPr>
            <w:r>
              <w:rPr>
                <w:rFonts w:ascii="Arial" w:cs="Arial" w:eastAsia="Arial" w:hAnsi="Arial"/>
                <w:sz w:val="16"/>
                <w:szCs w:val="16"/>
                <w:color w:val="auto"/>
              </w:rPr>
              <w:t>45,221,586</w:t>
            </w:r>
          </w:p>
        </w:tc>
        <w:tc>
          <w:tcPr>
            <w:tcW w:w="0" w:type="dxa"/>
            <w:vAlign w:val="bottom"/>
          </w:tcPr>
          <w:p>
            <w:pPr>
              <w:spacing w:after="0"/>
              <w:rPr>
                <w:sz w:val="1"/>
                <w:szCs w:val="1"/>
                <w:color w:val="auto"/>
              </w:rPr>
            </w:pPr>
          </w:p>
        </w:tc>
      </w:tr>
      <w:tr>
        <w:trPr>
          <w:trHeight w:val="770"/>
        </w:trPr>
        <w:tc>
          <w:tcPr>
            <w:tcW w:w="8820" w:type="dxa"/>
            <w:vAlign w:val="bottom"/>
          </w:tcPr>
          <w:p>
            <w:pPr>
              <w:ind w:left="60"/>
              <w:spacing w:after="0"/>
              <w:rPr>
                <w:sz w:val="20"/>
                <w:szCs w:val="20"/>
                <w:color w:val="auto"/>
              </w:rPr>
            </w:pPr>
            <w:r>
              <w:rPr>
                <w:rFonts w:ascii="Arial" w:cs="Arial" w:eastAsia="Arial" w:hAnsi="Arial"/>
                <w:sz w:val="16"/>
                <w:szCs w:val="16"/>
                <w:color w:val="auto"/>
              </w:rPr>
              <w:t>NVXAH : CONVERTIBLE DEBENTURES</w:t>
            </w:r>
          </w:p>
        </w:tc>
        <w:tc>
          <w:tcPr>
            <w:tcW w:w="1660" w:type="dxa"/>
            <w:vAlign w:val="bottom"/>
          </w:tcPr>
          <w:p>
            <w:pPr>
              <w:jc w:val="right"/>
              <w:spacing w:after="0"/>
              <w:rPr>
                <w:sz w:val="20"/>
                <w:szCs w:val="20"/>
                <w:color w:val="auto"/>
              </w:rPr>
            </w:pPr>
            <w:r>
              <w:rPr>
                <w:rFonts w:ascii="Arial" w:cs="Arial" w:eastAsia="Arial" w:hAnsi="Arial"/>
                <w:sz w:val="16"/>
                <w:szCs w:val="16"/>
                <w:color w:val="auto"/>
              </w:rPr>
              <w:t>35,000,000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00" w:right="360"/>
        <w:spacing w:after="0" w:line="266" w:lineRule="auto"/>
        <w:rPr>
          <w:sz w:val="20"/>
          <w:szCs w:val="20"/>
          <w:color w:val="auto"/>
        </w:rPr>
      </w:pPr>
      <w:r>
        <w:rPr>
          <w:rFonts w:ascii="Arial" w:cs="Arial" w:eastAsia="Arial" w:hAnsi="Arial"/>
          <w:sz w:val="16"/>
          <w:szCs w:val="16"/>
          <w:color w:val="auto"/>
        </w:rPr>
        <w:t>Note: the figures stated in the tables above are used to calculate the total market capitalisation of the entity published by ASX from time to time. The table will not include those classes of +securities that have ceased or lapsed in their entirety in ASX records before the announcement date described in Q1.5, even if the entity has advised ASX of a change to that class of +security in Part 2 of this form.</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7240" w:type="dxa"/>
            <w:vAlign w:val="bottom"/>
            <w:shd w:val="clear" w:color="auto" w:fill="999999"/>
          </w:tcPr>
          <w:p>
            <w:pPr>
              <w:spacing w:after="0" w:line="20" w:lineRule="exact"/>
              <w:rPr>
                <w:sz w:val="1"/>
                <w:szCs w:val="1"/>
                <w:color w:val="auto"/>
              </w:rPr>
            </w:pPr>
          </w:p>
        </w:tc>
        <w:tc>
          <w:tcPr>
            <w:tcW w:w="3860" w:type="dxa"/>
            <w:vAlign w:val="bottom"/>
            <w:shd w:val="clear" w:color="auto" w:fill="99999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60" w:type="dxa"/>
            <w:vAlign w:val="bottom"/>
            <w:gridSpan w:val="2"/>
            <w:vMerge w:val="restart"/>
          </w:tcPr>
          <w:p>
            <w:pPr>
              <w:ind w:left="120"/>
              <w:spacing w:after="0"/>
              <w:rPr>
                <w:sz w:val="20"/>
                <w:szCs w:val="20"/>
                <w:color w:val="auto"/>
              </w:rPr>
            </w:pPr>
            <w:r>
              <w:rPr>
                <w:rFonts w:ascii="Arial" w:cs="Arial" w:eastAsia="Arial" w:hAnsi="Arial"/>
                <w:sz w:val="16"/>
                <w:szCs w:val="16"/>
                <w:color w:val="auto"/>
              </w:rPr>
              <w:t>Appendix 3H - Notification of cessation of securities</w:t>
            </w:r>
          </w:p>
        </w:tc>
        <w:tc>
          <w:tcPr>
            <w:tcW w:w="3860" w:type="dxa"/>
            <w:vAlign w:val="bottom"/>
          </w:tcPr>
          <w:p>
            <w:pPr>
              <w:jc w:val="right"/>
              <w:spacing w:after="0"/>
              <w:rPr>
                <w:sz w:val="20"/>
                <w:szCs w:val="20"/>
                <w:color w:val="auto"/>
              </w:rPr>
            </w:pPr>
            <w:r>
              <w:rPr>
                <w:rFonts w:ascii="Arial" w:cs="Arial" w:eastAsia="Arial" w:hAnsi="Arial"/>
                <w:sz w:val="15"/>
                <w:szCs w:val="15"/>
                <w:color w:val="auto"/>
              </w:rPr>
              <w:t>4 / 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360" w:type="dxa"/>
            <w:vAlign w:val="bottom"/>
            <w:gridSpan w:val="2"/>
            <w:vMerge w:val="continue"/>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3"/>
        </w:trPr>
        <w:tc>
          <w:tcPr>
            <w:tcW w:w="1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2026-06-30T05:08:46Z</dcterms:created>
  <dcterms:modified xsi:type="dcterms:W3CDTF">2026-06-30T05:08:46Z</dcterms:modified>
</cp:coreProperties>
</file>