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July,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7"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ASX Announcement (NOVONIX Announces Interim Chief Financial Officer Remuneration Arrangements) dated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24" w:right="11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710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Mike O'Kronley</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Mike O'Kronley</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442845" cy="368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36830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25"/>
          <w:szCs w:val="25"/>
          <w:color w:val="00AE42"/>
        </w:rPr>
        <w:t>ASX ANNOUNCEMENT</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(ASX: NVX)</w:t>
      </w:r>
    </w:p>
    <w:p>
      <w:pPr>
        <w:spacing w:after="0" w:line="375" w:lineRule="exact"/>
        <w:rPr>
          <w:sz w:val="20"/>
          <w:szCs w:val="20"/>
          <w:color w:val="auto"/>
        </w:rPr>
      </w:pPr>
    </w:p>
    <w:p>
      <w:pPr>
        <w:ind w:right="2300"/>
        <w:spacing w:after="0" w:line="290" w:lineRule="auto"/>
        <w:rPr>
          <w:sz w:val="20"/>
          <w:szCs w:val="20"/>
          <w:color w:val="auto"/>
        </w:rPr>
      </w:pPr>
      <w:r>
        <w:rPr>
          <w:rFonts w:ascii="Arial" w:cs="Arial" w:eastAsia="Arial" w:hAnsi="Arial"/>
          <w:sz w:val="36"/>
          <w:szCs w:val="36"/>
          <w:b w:val="1"/>
          <w:bCs w:val="1"/>
          <w:color w:val="00AE42"/>
        </w:rPr>
        <w:t>NOVONIX Announces Interim Chief Financial Officer Remuneration Arrangements</w:t>
      </w:r>
    </w:p>
    <w:p>
      <w:pPr>
        <w:spacing w:after="0" w:line="89"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b w:val="1"/>
          <w:bCs w:val="1"/>
          <w:color w:val="auto"/>
        </w:rPr>
        <w:t xml:space="preserve">Chattanooga, TN (USA), 1 July 2026 </w:t>
      </w:r>
      <w:r>
        <w:rPr>
          <w:rFonts w:ascii="Arial" w:cs="Arial" w:eastAsia="Arial" w:hAnsi="Arial"/>
          <w:sz w:val="22"/>
          <w:szCs w:val="22"/>
          <w:color w:val="auto"/>
        </w:rPr>
        <w:t>- NOVONIX Limited (NASDAQ: NVX, ASX: NVX) (“NOVONIX”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leading battery materials company, today announced the remuneration arrangements agreed with Mr Ron Edmonds in connection with his appointment as Interim Chief Financial Officer.</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As previously announced on 9 June 2026, Mr Edmonds will assume the role of Interim Chief Financial Officer following the departure of former Chief Financial Officer, Robert Long. To reflect the additional executive responsibilities and time commitment associated with the role, the Company has agreed that Mr Edmonds will receive additional remuneration for the duration of his appointment as Interim Chief Financial Officer, as set out in Appendix 1.</w:t>
      </w:r>
    </w:p>
    <w:p>
      <w:pPr>
        <w:spacing w:after="0" w:line="204"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Mr Edmonds will continue to serve as a director of the Company but has stepped aside from the role of Chair while undertaking the Interim Chief Financial Officer position. Deputy Chair, Admiral Robert Natter, has resumed the role of Chair during the interim period.</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22"/>
          <w:szCs w:val="22"/>
          <w:color w:val="auto"/>
        </w:rPr>
        <w:t>The remuneration arrangements will remain in place until the appointment of a permanent Chief Financial Officer or the earlier cessation of Mr Edmonds' interim appointment.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This announcement has been authorised for release by Admiral Robert Natter,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370840</wp:posOffset>
            </wp:positionV>
            <wp:extent cx="52260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26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 w:name="page5"/>
    <w:bookmarkEnd w:id="4"/>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442845"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36830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25"/>
          <w:szCs w:val="25"/>
          <w:color w:val="00AE42"/>
        </w:rPr>
        <w:t>ASX ANNOUNCEMENT</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(ASX: NVX)</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NOVONIX</w:t>
      </w:r>
    </w:p>
    <w:p>
      <w:pPr>
        <w:spacing w:after="0" w:line="12" w:lineRule="exact"/>
        <w:rPr>
          <w:sz w:val="20"/>
          <w:szCs w:val="20"/>
          <w:color w:val="auto"/>
        </w:rPr>
      </w:pPr>
    </w:p>
    <w:p>
      <w:pPr>
        <w:ind w:right="340"/>
        <w:spacing w:after="0" w:line="234" w:lineRule="auto"/>
        <w:rPr>
          <w:sz w:val="20"/>
          <w:szCs w:val="20"/>
          <w:color w:val="auto"/>
        </w:rPr>
      </w:pPr>
      <w:r>
        <w:rPr>
          <w:rFonts w:ascii="Arial" w:cs="Arial" w:eastAsia="Arial" w:hAnsi="Arial"/>
          <w:sz w:val="22"/>
          <w:szCs w:val="22"/>
          <w:color w:val="auto"/>
        </w:rPr>
        <w:t>NOVONIX is building a resilient North American battery materials supply chain to reduce risk and support U.S. energy independence. Headquartered in Chattanooga, Tennessee, the company produces high-performance synthetic graphite anode materials for lithium-ion batteries, serving energy storage, electric vehicles, and industrial markets. Through proprietary technologies and expanding manufacturing capacity, NOVONIX is scaling critical battery materials to meet growing global demand.</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To learn more, visit us at www.novonixgroup.com or on LinkedIn and X.</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NOVONIX Limited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Investors: ir@novonixgroup.com</w:t>
      </w:r>
    </w:p>
    <w:p>
      <w:pPr>
        <w:spacing w:after="0"/>
        <w:rPr>
          <w:sz w:val="20"/>
          <w:szCs w:val="20"/>
          <w:color w:val="auto"/>
        </w:rPr>
      </w:pPr>
      <w:r>
        <w:rPr>
          <w:rFonts w:ascii="Arial" w:cs="Arial" w:eastAsia="Arial" w:hAnsi="Arial"/>
          <w:sz w:val="22"/>
          <w:szCs w:val="22"/>
          <w:color w:val="auto"/>
        </w:rPr>
        <w:t>Media: media@novonixgroup.com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314960</wp:posOffset>
            </wp:positionV>
            <wp:extent cx="52260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6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5" w:name="page6"/>
    <w:bookmarkEnd w:id="5"/>
    <w:p>
      <w:pPr>
        <w:ind w:left="101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442845"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2845" cy="36830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25"/>
          <w:szCs w:val="25"/>
          <w:color w:val="00AE42"/>
        </w:rPr>
        <w:t>ASX ANNOUNCEMENT</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(ASX: NVX)</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Appendix 1 – Chief Financial Officer Remuneration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3520" w:type="dxa"/>
            <w:vAlign w:val="bottom"/>
            <w:tcBorders>
              <w:right w:val="single" w:sz="8" w:color="00AE42"/>
            </w:tcBorders>
          </w:tcPr>
          <w:p>
            <w:pPr>
              <w:ind w:left="100"/>
              <w:spacing w:after="0"/>
              <w:rPr>
                <w:sz w:val="20"/>
                <w:szCs w:val="20"/>
                <w:color w:val="auto"/>
              </w:rPr>
            </w:pPr>
            <w:r>
              <w:rPr>
                <w:rFonts w:ascii="Arial" w:cs="Arial" w:eastAsia="Arial" w:hAnsi="Arial"/>
                <w:sz w:val="22"/>
                <w:szCs w:val="22"/>
                <w:b w:val="1"/>
                <w:bCs w:val="1"/>
                <w:color w:val="auto"/>
              </w:rPr>
              <w:t>Position</w:t>
            </w:r>
          </w:p>
        </w:tc>
        <w:tc>
          <w:tcPr>
            <w:tcW w:w="7720" w:type="dxa"/>
            <w:vAlign w:val="bottom"/>
          </w:tcPr>
          <w:p>
            <w:pPr>
              <w:ind w:left="80"/>
              <w:spacing w:after="0"/>
              <w:rPr>
                <w:sz w:val="20"/>
                <w:szCs w:val="20"/>
                <w:color w:val="auto"/>
              </w:rPr>
            </w:pPr>
            <w:r>
              <w:rPr>
                <w:rFonts w:ascii="Arial" w:cs="Arial" w:eastAsia="Arial" w:hAnsi="Arial"/>
                <w:sz w:val="22"/>
                <w:szCs w:val="22"/>
                <w:b w:val="1"/>
                <w:bCs w:val="1"/>
                <w:color w:val="auto"/>
              </w:rPr>
              <w:t>Chief Financial Officer</w:t>
            </w:r>
          </w:p>
        </w:tc>
        <w:tc>
          <w:tcPr>
            <w:tcW w:w="0" w:type="dxa"/>
            <w:vAlign w:val="bottom"/>
          </w:tcPr>
          <w:p>
            <w:pPr>
              <w:spacing w:after="0"/>
              <w:rPr>
                <w:sz w:val="1"/>
                <w:szCs w:val="1"/>
                <w:color w:val="auto"/>
              </w:rPr>
            </w:pPr>
          </w:p>
        </w:tc>
      </w:tr>
      <w:tr>
        <w:trPr>
          <w:trHeight w:val="244"/>
        </w:trPr>
        <w:tc>
          <w:tcPr>
            <w:tcW w:w="3520" w:type="dxa"/>
            <w:vAlign w:val="bottom"/>
            <w:tcBorders>
              <w:bottom w:val="single" w:sz="8" w:color="00AE42"/>
              <w:right w:val="single" w:sz="8" w:color="00AE42"/>
            </w:tcBorders>
          </w:tcPr>
          <w:p>
            <w:pPr>
              <w:spacing w:after="0"/>
              <w:rPr>
                <w:sz w:val="21"/>
                <w:szCs w:val="21"/>
                <w:color w:val="auto"/>
              </w:rPr>
            </w:pPr>
          </w:p>
        </w:tc>
        <w:tc>
          <w:tcPr>
            <w:tcW w:w="7720" w:type="dxa"/>
            <w:vAlign w:val="bottom"/>
            <w:tcBorders>
              <w:bottom w:val="single" w:sz="8" w:color="00AE42"/>
            </w:tcBorders>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520" w:type="dxa"/>
            <w:vAlign w:val="bottom"/>
            <w:tcBorders>
              <w:right w:val="single" w:sz="8" w:color="00AE42"/>
            </w:tcBorders>
          </w:tcPr>
          <w:p>
            <w:pPr>
              <w:ind w:left="100"/>
              <w:spacing w:after="0"/>
              <w:rPr>
                <w:sz w:val="20"/>
                <w:szCs w:val="20"/>
                <w:color w:val="auto"/>
              </w:rPr>
            </w:pPr>
            <w:r>
              <w:rPr>
                <w:rFonts w:ascii="Arial" w:cs="Arial" w:eastAsia="Arial" w:hAnsi="Arial"/>
                <w:sz w:val="22"/>
                <w:szCs w:val="22"/>
                <w:color w:val="auto"/>
              </w:rPr>
              <w:t>Commencement Date</w:t>
            </w:r>
          </w:p>
        </w:tc>
        <w:tc>
          <w:tcPr>
            <w:tcW w:w="7720" w:type="dxa"/>
            <w:vAlign w:val="bottom"/>
          </w:tcPr>
          <w:p>
            <w:pPr>
              <w:ind w:left="80"/>
              <w:spacing w:after="0"/>
              <w:rPr>
                <w:sz w:val="20"/>
                <w:szCs w:val="20"/>
                <w:color w:val="auto"/>
              </w:rPr>
            </w:pPr>
            <w:r>
              <w:rPr>
                <w:rFonts w:ascii="Arial" w:cs="Arial" w:eastAsia="Arial" w:hAnsi="Arial"/>
                <w:sz w:val="22"/>
                <w:szCs w:val="22"/>
                <w:color w:val="auto"/>
              </w:rPr>
              <w:t>1 July 2026</w:t>
            </w:r>
          </w:p>
        </w:tc>
        <w:tc>
          <w:tcPr>
            <w:tcW w:w="0" w:type="dxa"/>
            <w:vAlign w:val="bottom"/>
          </w:tcPr>
          <w:p>
            <w:pPr>
              <w:spacing w:after="0"/>
              <w:rPr>
                <w:sz w:val="1"/>
                <w:szCs w:val="1"/>
                <w:color w:val="auto"/>
              </w:rPr>
            </w:pPr>
          </w:p>
        </w:tc>
      </w:tr>
      <w:tr>
        <w:trPr>
          <w:trHeight w:val="175"/>
        </w:trPr>
        <w:tc>
          <w:tcPr>
            <w:tcW w:w="3520" w:type="dxa"/>
            <w:vAlign w:val="bottom"/>
            <w:tcBorders>
              <w:bottom w:val="single" w:sz="8" w:color="00AE42"/>
              <w:right w:val="single" w:sz="8" w:color="00AE42"/>
            </w:tcBorders>
          </w:tcPr>
          <w:p>
            <w:pPr>
              <w:spacing w:after="0"/>
              <w:rPr>
                <w:sz w:val="15"/>
                <w:szCs w:val="15"/>
                <w:color w:val="auto"/>
              </w:rPr>
            </w:pPr>
          </w:p>
        </w:tc>
        <w:tc>
          <w:tcPr>
            <w:tcW w:w="7720" w:type="dxa"/>
            <w:vAlign w:val="bottom"/>
            <w:tcBorders>
              <w:bottom w:val="single" w:sz="8" w:color="00AE42"/>
            </w:tcBorders>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3520" w:type="dxa"/>
            <w:vAlign w:val="bottom"/>
            <w:tcBorders>
              <w:right w:val="single" w:sz="8" w:color="00AE42"/>
            </w:tcBorders>
          </w:tcPr>
          <w:p>
            <w:pPr>
              <w:ind w:left="100"/>
              <w:spacing w:after="0"/>
              <w:rPr>
                <w:sz w:val="20"/>
                <w:szCs w:val="20"/>
                <w:color w:val="auto"/>
              </w:rPr>
            </w:pPr>
            <w:r>
              <w:rPr>
                <w:rFonts w:ascii="Arial" w:cs="Arial" w:eastAsia="Arial" w:hAnsi="Arial"/>
                <w:sz w:val="22"/>
                <w:szCs w:val="22"/>
                <w:color w:val="auto"/>
              </w:rPr>
              <w:t>Term</w:t>
            </w:r>
          </w:p>
        </w:tc>
        <w:tc>
          <w:tcPr>
            <w:tcW w:w="7720" w:type="dxa"/>
            <w:vAlign w:val="bottom"/>
          </w:tcPr>
          <w:p>
            <w:pPr>
              <w:ind w:left="80"/>
              <w:spacing w:after="0"/>
              <w:rPr>
                <w:sz w:val="20"/>
                <w:szCs w:val="20"/>
                <w:color w:val="auto"/>
              </w:rPr>
            </w:pPr>
            <w:r>
              <w:rPr>
                <w:rFonts w:ascii="Arial" w:cs="Arial" w:eastAsia="Arial" w:hAnsi="Arial"/>
                <w:sz w:val="22"/>
                <w:szCs w:val="22"/>
                <w:color w:val="auto"/>
              </w:rPr>
              <w:t>Interim term of 3 – 6 months</w:t>
            </w:r>
          </w:p>
        </w:tc>
        <w:tc>
          <w:tcPr>
            <w:tcW w:w="0" w:type="dxa"/>
            <w:vAlign w:val="bottom"/>
          </w:tcPr>
          <w:p>
            <w:pPr>
              <w:spacing w:after="0"/>
              <w:rPr>
                <w:sz w:val="1"/>
                <w:szCs w:val="1"/>
                <w:color w:val="auto"/>
              </w:rPr>
            </w:pPr>
          </w:p>
        </w:tc>
      </w:tr>
      <w:tr>
        <w:trPr>
          <w:trHeight w:val="175"/>
        </w:trPr>
        <w:tc>
          <w:tcPr>
            <w:tcW w:w="3520" w:type="dxa"/>
            <w:vAlign w:val="bottom"/>
            <w:tcBorders>
              <w:bottom w:val="single" w:sz="8" w:color="00AE42"/>
              <w:right w:val="single" w:sz="8" w:color="00AE42"/>
            </w:tcBorders>
          </w:tcPr>
          <w:p>
            <w:pPr>
              <w:spacing w:after="0"/>
              <w:rPr>
                <w:sz w:val="15"/>
                <w:szCs w:val="15"/>
                <w:color w:val="auto"/>
              </w:rPr>
            </w:pPr>
          </w:p>
        </w:tc>
        <w:tc>
          <w:tcPr>
            <w:tcW w:w="7720" w:type="dxa"/>
            <w:vAlign w:val="bottom"/>
            <w:tcBorders>
              <w:bottom w:val="single" w:sz="8" w:color="00AE42"/>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3520" w:type="dxa"/>
            <w:vAlign w:val="bottom"/>
            <w:tcBorders>
              <w:right w:val="single" w:sz="8" w:color="00AE42"/>
            </w:tcBorders>
            <w:vMerge w:val="restart"/>
          </w:tcPr>
          <w:p>
            <w:pPr>
              <w:ind w:left="100"/>
              <w:spacing w:after="0"/>
              <w:rPr>
                <w:sz w:val="20"/>
                <w:szCs w:val="20"/>
                <w:color w:val="auto"/>
              </w:rPr>
            </w:pPr>
            <w:r>
              <w:rPr>
                <w:rFonts w:ascii="Arial" w:cs="Arial" w:eastAsia="Arial" w:hAnsi="Arial"/>
                <w:sz w:val="22"/>
                <w:szCs w:val="22"/>
                <w:color w:val="auto"/>
              </w:rPr>
              <w:t>Total Fixed Remuneration</w:t>
            </w:r>
          </w:p>
        </w:tc>
        <w:tc>
          <w:tcPr>
            <w:tcW w:w="7720" w:type="dxa"/>
            <w:vAlign w:val="bottom"/>
          </w:tcPr>
          <w:p>
            <w:pPr>
              <w:ind w:left="80"/>
              <w:spacing w:after="0"/>
              <w:rPr>
                <w:sz w:val="20"/>
                <w:szCs w:val="20"/>
                <w:color w:val="auto"/>
              </w:rPr>
            </w:pPr>
            <w:r>
              <w:rPr>
                <w:rFonts w:ascii="Arial" w:cs="Arial" w:eastAsia="Arial" w:hAnsi="Arial"/>
                <w:sz w:val="22"/>
                <w:szCs w:val="22"/>
                <w:color w:val="auto"/>
              </w:rPr>
              <w:t>USD$450,000 base salary, pro-rated to reflect a expected commitment of</w:t>
            </w:r>
          </w:p>
        </w:tc>
        <w:tc>
          <w:tcPr>
            <w:tcW w:w="0" w:type="dxa"/>
            <w:vAlign w:val="bottom"/>
          </w:tcPr>
          <w:p>
            <w:pPr>
              <w:spacing w:after="0"/>
              <w:rPr>
                <w:sz w:val="1"/>
                <w:szCs w:val="1"/>
                <w:color w:val="auto"/>
              </w:rPr>
            </w:pPr>
          </w:p>
        </w:tc>
      </w:tr>
      <w:tr>
        <w:trPr>
          <w:trHeight w:val="162"/>
        </w:trPr>
        <w:tc>
          <w:tcPr>
            <w:tcW w:w="3520" w:type="dxa"/>
            <w:vAlign w:val="bottom"/>
            <w:tcBorders>
              <w:right w:val="single" w:sz="8" w:color="00AE42"/>
            </w:tcBorders>
            <w:vMerge w:val="continue"/>
          </w:tcPr>
          <w:p>
            <w:pPr>
              <w:spacing w:after="0"/>
              <w:rPr>
                <w:sz w:val="14"/>
                <w:szCs w:val="14"/>
                <w:color w:val="auto"/>
              </w:rPr>
            </w:pPr>
          </w:p>
        </w:tc>
        <w:tc>
          <w:tcPr>
            <w:tcW w:w="7720" w:type="dxa"/>
            <w:vAlign w:val="bottom"/>
            <w:vMerge w:val="restart"/>
          </w:tcPr>
          <w:p>
            <w:pPr>
              <w:ind w:left="80"/>
              <w:spacing w:after="0"/>
              <w:rPr>
                <w:sz w:val="20"/>
                <w:szCs w:val="20"/>
                <w:color w:val="auto"/>
              </w:rPr>
            </w:pPr>
            <w:r>
              <w:rPr>
                <w:rFonts w:ascii="Arial" w:cs="Arial" w:eastAsia="Arial" w:hAnsi="Arial"/>
                <w:sz w:val="22"/>
                <w:szCs w:val="22"/>
                <w:color w:val="auto"/>
              </w:rPr>
              <w:t>approximately 75% of a full-time equivalent role.</w:t>
            </w:r>
          </w:p>
        </w:tc>
        <w:tc>
          <w:tcPr>
            <w:tcW w:w="0" w:type="dxa"/>
            <w:vAlign w:val="bottom"/>
          </w:tcPr>
          <w:p>
            <w:pPr>
              <w:spacing w:after="0"/>
              <w:rPr>
                <w:sz w:val="1"/>
                <w:szCs w:val="1"/>
                <w:color w:val="auto"/>
              </w:rPr>
            </w:pPr>
          </w:p>
        </w:tc>
      </w:tr>
      <w:tr>
        <w:trPr>
          <w:trHeight w:val="122"/>
        </w:trPr>
        <w:tc>
          <w:tcPr>
            <w:tcW w:w="3520" w:type="dxa"/>
            <w:vAlign w:val="bottom"/>
            <w:tcBorders>
              <w:right w:val="single" w:sz="8" w:color="00AE42"/>
            </w:tcBorders>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520" w:type="dxa"/>
            <w:vAlign w:val="bottom"/>
            <w:tcBorders>
              <w:bottom w:val="single" w:sz="8" w:color="00AE42"/>
              <w:right w:val="single" w:sz="8" w:color="00AE42"/>
            </w:tcBorders>
          </w:tcPr>
          <w:p>
            <w:pPr>
              <w:spacing w:after="0"/>
              <w:rPr>
                <w:sz w:val="7"/>
                <w:szCs w:val="7"/>
                <w:color w:val="auto"/>
              </w:rPr>
            </w:pPr>
          </w:p>
        </w:tc>
        <w:tc>
          <w:tcPr>
            <w:tcW w:w="7720" w:type="dxa"/>
            <w:vAlign w:val="bottom"/>
            <w:tcBorders>
              <w:bottom w:val="single" w:sz="8" w:color="00AE42"/>
            </w:tcBorders>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3520" w:type="dxa"/>
            <w:vAlign w:val="bottom"/>
            <w:tcBorders>
              <w:right w:val="single" w:sz="8" w:color="00AE42"/>
            </w:tcBorders>
          </w:tcPr>
          <w:p>
            <w:pPr>
              <w:spacing w:after="0"/>
              <w:rPr>
                <w:sz w:val="24"/>
                <w:szCs w:val="24"/>
                <w:color w:val="auto"/>
              </w:rPr>
            </w:pPr>
          </w:p>
        </w:tc>
        <w:tc>
          <w:tcPr>
            <w:tcW w:w="7720" w:type="dxa"/>
            <w:vAlign w:val="bottom"/>
          </w:tcPr>
          <w:p>
            <w:pPr>
              <w:ind w:left="80"/>
              <w:spacing w:after="0"/>
              <w:rPr>
                <w:sz w:val="20"/>
                <w:szCs w:val="20"/>
                <w:color w:val="auto"/>
              </w:rPr>
            </w:pPr>
            <w:r>
              <w:rPr>
                <w:rFonts w:ascii="Arial" w:cs="Arial" w:eastAsia="Arial" w:hAnsi="Arial"/>
                <w:sz w:val="22"/>
                <w:szCs w:val="22"/>
                <w:color w:val="auto"/>
              </w:rPr>
              <w:t>Maximum of 100% of total fixed remuneration, subject to achievement of</w:t>
            </w:r>
          </w:p>
        </w:tc>
        <w:tc>
          <w:tcPr>
            <w:tcW w:w="0" w:type="dxa"/>
            <w:vAlign w:val="bottom"/>
          </w:tcPr>
          <w:p>
            <w:pPr>
              <w:spacing w:after="0"/>
              <w:rPr>
                <w:sz w:val="1"/>
                <w:szCs w:val="1"/>
                <w:color w:val="auto"/>
              </w:rPr>
            </w:pPr>
          </w:p>
        </w:tc>
      </w:tr>
      <w:tr>
        <w:trPr>
          <w:trHeight w:val="243"/>
        </w:trPr>
        <w:tc>
          <w:tcPr>
            <w:tcW w:w="3520" w:type="dxa"/>
            <w:vAlign w:val="bottom"/>
            <w:tcBorders>
              <w:right w:val="single" w:sz="8" w:color="00AE42"/>
            </w:tcBorders>
          </w:tcPr>
          <w:p>
            <w:pPr>
              <w:ind w:left="100"/>
              <w:spacing w:after="0" w:line="243" w:lineRule="exact"/>
              <w:rPr>
                <w:sz w:val="20"/>
                <w:szCs w:val="20"/>
                <w:color w:val="auto"/>
              </w:rPr>
            </w:pPr>
            <w:r>
              <w:rPr>
                <w:rFonts w:ascii="Arial" w:cs="Arial" w:eastAsia="Arial" w:hAnsi="Arial"/>
                <w:sz w:val="22"/>
                <w:szCs w:val="22"/>
                <w:color w:val="auto"/>
              </w:rPr>
              <w:t>Short term incentive</w:t>
            </w:r>
          </w:p>
        </w:tc>
        <w:tc>
          <w:tcPr>
            <w:tcW w:w="7720" w:type="dxa"/>
            <w:vAlign w:val="bottom"/>
          </w:tcPr>
          <w:p>
            <w:pPr>
              <w:ind w:left="80"/>
              <w:spacing w:after="0" w:line="243" w:lineRule="exact"/>
              <w:rPr>
                <w:sz w:val="20"/>
                <w:szCs w:val="20"/>
                <w:color w:val="auto"/>
              </w:rPr>
            </w:pPr>
            <w:r>
              <w:rPr>
                <w:rFonts w:ascii="Arial" w:cs="Arial" w:eastAsia="Arial" w:hAnsi="Arial"/>
                <w:sz w:val="22"/>
                <w:szCs w:val="22"/>
                <w:color w:val="auto"/>
              </w:rPr>
              <w:t>performance-based targets set by the Board and assessed following the</w:t>
            </w:r>
          </w:p>
        </w:tc>
        <w:tc>
          <w:tcPr>
            <w:tcW w:w="0" w:type="dxa"/>
            <w:vAlign w:val="bottom"/>
          </w:tcPr>
          <w:p>
            <w:pPr>
              <w:spacing w:after="0"/>
              <w:rPr>
                <w:sz w:val="1"/>
                <w:szCs w:val="1"/>
                <w:color w:val="auto"/>
              </w:rPr>
            </w:pPr>
          </w:p>
        </w:tc>
      </w:tr>
      <w:tr>
        <w:trPr>
          <w:trHeight w:val="283"/>
        </w:trPr>
        <w:tc>
          <w:tcPr>
            <w:tcW w:w="3520" w:type="dxa"/>
            <w:vAlign w:val="bottom"/>
            <w:tcBorders>
              <w:right w:val="single" w:sz="8" w:color="00AE42"/>
            </w:tcBorders>
          </w:tcPr>
          <w:p>
            <w:pPr>
              <w:spacing w:after="0"/>
              <w:rPr>
                <w:sz w:val="24"/>
                <w:szCs w:val="24"/>
                <w:color w:val="auto"/>
              </w:rPr>
            </w:pPr>
          </w:p>
        </w:tc>
        <w:tc>
          <w:tcPr>
            <w:tcW w:w="7720" w:type="dxa"/>
            <w:vAlign w:val="bottom"/>
          </w:tcPr>
          <w:p>
            <w:pPr>
              <w:ind w:left="80"/>
              <w:spacing w:after="0"/>
              <w:rPr>
                <w:sz w:val="20"/>
                <w:szCs w:val="20"/>
                <w:color w:val="auto"/>
              </w:rPr>
            </w:pPr>
            <w:r>
              <w:rPr>
                <w:rFonts w:ascii="Arial" w:cs="Arial" w:eastAsia="Arial" w:hAnsi="Arial"/>
                <w:sz w:val="22"/>
                <w:szCs w:val="22"/>
                <w:color w:val="auto"/>
              </w:rPr>
              <w:t>cessation of the interim appointment.</w:t>
            </w:r>
          </w:p>
        </w:tc>
        <w:tc>
          <w:tcPr>
            <w:tcW w:w="0" w:type="dxa"/>
            <w:vAlign w:val="bottom"/>
          </w:tcPr>
          <w:p>
            <w:pPr>
              <w:spacing w:after="0"/>
              <w:rPr>
                <w:sz w:val="1"/>
                <w:szCs w:val="1"/>
                <w:color w:val="auto"/>
              </w:rPr>
            </w:pPr>
          </w:p>
        </w:tc>
      </w:tr>
      <w:tr>
        <w:trPr>
          <w:trHeight w:val="121"/>
        </w:trPr>
        <w:tc>
          <w:tcPr>
            <w:tcW w:w="3520" w:type="dxa"/>
            <w:vAlign w:val="bottom"/>
            <w:tcBorders>
              <w:bottom w:val="single" w:sz="8" w:color="00AE42"/>
              <w:right w:val="single" w:sz="8" w:color="00AE42"/>
            </w:tcBorders>
          </w:tcPr>
          <w:p>
            <w:pPr>
              <w:spacing w:after="0"/>
              <w:rPr>
                <w:sz w:val="10"/>
                <w:szCs w:val="10"/>
                <w:color w:val="auto"/>
              </w:rPr>
            </w:pPr>
          </w:p>
        </w:tc>
        <w:tc>
          <w:tcPr>
            <w:tcW w:w="7720" w:type="dxa"/>
            <w:vAlign w:val="bottom"/>
            <w:tcBorders>
              <w:bottom w:val="single" w:sz="8" w:color="00AE42"/>
            </w:tcBorders>
          </w:tcPr>
          <w:p>
            <w:pPr>
              <w:spacing w:after="0"/>
              <w:rPr>
                <w:sz w:val="10"/>
                <w:szCs w:val="10"/>
                <w:color w:val="auto"/>
              </w:rPr>
            </w:pPr>
          </w:p>
        </w:tc>
        <w:tc>
          <w:tcPr>
            <w:tcW w:w="0" w:type="dxa"/>
            <w:vAlign w:val="bottom"/>
          </w:tcPr>
          <w:p>
            <w:pPr>
              <w:spacing w:after="0"/>
              <w:rPr>
                <w:sz w:val="1"/>
                <w:szCs w:val="1"/>
                <w:color w:val="auto"/>
              </w:rPr>
            </w:pPr>
          </w:p>
        </w:tc>
      </w:tr>
      <w:tr>
        <w:trPr>
          <w:trHeight w:val="413"/>
        </w:trPr>
        <w:tc>
          <w:tcPr>
            <w:tcW w:w="3520" w:type="dxa"/>
            <w:vAlign w:val="bottom"/>
            <w:tcBorders>
              <w:right w:val="single" w:sz="8" w:color="00AE42"/>
            </w:tcBorders>
            <w:vMerge w:val="restart"/>
          </w:tcPr>
          <w:p>
            <w:pPr>
              <w:ind w:left="100"/>
              <w:spacing w:after="0"/>
              <w:rPr>
                <w:sz w:val="20"/>
                <w:szCs w:val="20"/>
                <w:color w:val="auto"/>
              </w:rPr>
            </w:pPr>
            <w:r>
              <w:rPr>
                <w:rFonts w:ascii="Arial" w:cs="Arial" w:eastAsia="Arial" w:hAnsi="Arial"/>
                <w:sz w:val="22"/>
                <w:szCs w:val="22"/>
                <w:color w:val="auto"/>
              </w:rPr>
              <w:t>Long term incentive</w:t>
            </w:r>
          </w:p>
        </w:tc>
        <w:tc>
          <w:tcPr>
            <w:tcW w:w="7720" w:type="dxa"/>
            <w:vAlign w:val="bottom"/>
          </w:tcPr>
          <w:p>
            <w:pPr>
              <w:ind w:left="80"/>
              <w:spacing w:after="0"/>
              <w:rPr>
                <w:sz w:val="20"/>
                <w:szCs w:val="20"/>
                <w:color w:val="auto"/>
              </w:rPr>
            </w:pPr>
            <w:r>
              <w:rPr>
                <w:rFonts w:ascii="Arial" w:cs="Arial" w:eastAsia="Arial" w:hAnsi="Arial"/>
                <w:sz w:val="22"/>
                <w:szCs w:val="22"/>
                <w:color w:val="auto"/>
              </w:rPr>
              <w:t>Additional Director share rights equivalent to USD$95,000, subject to</w:t>
            </w:r>
          </w:p>
        </w:tc>
        <w:tc>
          <w:tcPr>
            <w:tcW w:w="0" w:type="dxa"/>
            <w:vAlign w:val="bottom"/>
          </w:tcPr>
          <w:p>
            <w:pPr>
              <w:spacing w:after="0"/>
              <w:rPr>
                <w:sz w:val="1"/>
                <w:szCs w:val="1"/>
                <w:color w:val="auto"/>
              </w:rPr>
            </w:pPr>
          </w:p>
        </w:tc>
      </w:tr>
      <w:tr>
        <w:trPr>
          <w:trHeight w:val="162"/>
        </w:trPr>
        <w:tc>
          <w:tcPr>
            <w:tcW w:w="3520" w:type="dxa"/>
            <w:vAlign w:val="bottom"/>
            <w:tcBorders>
              <w:right w:val="single" w:sz="8" w:color="00AE42"/>
            </w:tcBorders>
            <w:vMerge w:val="continue"/>
          </w:tcPr>
          <w:p>
            <w:pPr>
              <w:spacing w:after="0"/>
              <w:rPr>
                <w:sz w:val="14"/>
                <w:szCs w:val="14"/>
                <w:color w:val="auto"/>
              </w:rPr>
            </w:pPr>
          </w:p>
        </w:tc>
        <w:tc>
          <w:tcPr>
            <w:tcW w:w="7720" w:type="dxa"/>
            <w:vAlign w:val="bottom"/>
            <w:vMerge w:val="restart"/>
          </w:tcPr>
          <w:p>
            <w:pPr>
              <w:ind w:left="80"/>
              <w:spacing w:after="0"/>
              <w:rPr>
                <w:sz w:val="20"/>
                <w:szCs w:val="20"/>
                <w:color w:val="auto"/>
              </w:rPr>
            </w:pPr>
            <w:r>
              <w:rPr>
                <w:rFonts w:ascii="Arial" w:cs="Arial" w:eastAsia="Arial" w:hAnsi="Arial"/>
                <w:sz w:val="22"/>
                <w:szCs w:val="22"/>
                <w:color w:val="auto"/>
              </w:rPr>
              <w:t>shareholder approval.</w:t>
            </w:r>
          </w:p>
        </w:tc>
        <w:tc>
          <w:tcPr>
            <w:tcW w:w="0" w:type="dxa"/>
            <w:vAlign w:val="bottom"/>
          </w:tcPr>
          <w:p>
            <w:pPr>
              <w:spacing w:after="0"/>
              <w:rPr>
                <w:sz w:val="1"/>
                <w:szCs w:val="1"/>
                <w:color w:val="auto"/>
              </w:rPr>
            </w:pPr>
          </w:p>
        </w:tc>
      </w:tr>
      <w:tr>
        <w:trPr>
          <w:trHeight w:val="122"/>
        </w:trPr>
        <w:tc>
          <w:tcPr>
            <w:tcW w:w="3520" w:type="dxa"/>
            <w:vAlign w:val="bottom"/>
            <w:tcBorders>
              <w:right w:val="single" w:sz="8" w:color="00AE42"/>
            </w:tcBorders>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520" w:type="dxa"/>
            <w:vAlign w:val="bottom"/>
            <w:tcBorders>
              <w:bottom w:val="single" w:sz="8" w:color="00AE42"/>
              <w:right w:val="single" w:sz="8" w:color="00AE42"/>
            </w:tcBorders>
          </w:tcPr>
          <w:p>
            <w:pPr>
              <w:spacing w:after="0"/>
              <w:rPr>
                <w:sz w:val="17"/>
                <w:szCs w:val="17"/>
                <w:color w:val="auto"/>
              </w:rPr>
            </w:pPr>
          </w:p>
        </w:tc>
        <w:tc>
          <w:tcPr>
            <w:tcW w:w="7720" w:type="dxa"/>
            <w:vAlign w:val="bottom"/>
            <w:tcBorders>
              <w:bottom w:val="single" w:sz="8" w:color="00AE42"/>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908685</wp:posOffset>
            </wp:positionV>
            <wp:extent cx="52260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26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2026-07-01T16:00:56Z</dcterms:created>
  <dcterms:modified xsi:type="dcterms:W3CDTF">2026-07-01T16:00:56Z</dcterms:modified>
</cp:coreProperties>
</file>